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2"/>
        <w:spacing w:line="360" w:lineRule="auto"/>
        <w:rPr>
          <w:rFonts w:ascii="Arial" w:hAnsi="Arial" w:cs="Arial"/>
          <w:b/>
          <w:sz w:val="28"/>
          <w:szCs w:val="28"/>
        </w:rPr>
      </w:pPr>
      <w:r>
        <w:rPr>
          <w:noProof/>
          <w:lang w:eastAsia="ru-RU"/>
        </w:rPr>
        <w:drawing>
          <wp:inline distT="0" distB="0" distL="0" distR="0">
            <wp:extent cx="1601470" cy="838200"/>
            <wp:effectExtent l="0" t="0" r="0" b="0"/>
            <wp:docPr id="2" name="Рисунок 2" descr="C:\Users\taboychenko\AppData\Local\Microsoft\Windows\Temporary Internet Files\Content.Outlook\F3XXZFUN\RN_logo_nk_rus_cmyk (2).jpg"/>
            <wp:cNvGraphicFramePr/>
            <a:graphic xmlns:a="http://schemas.openxmlformats.org/drawingml/2006/main">
              <a:graphicData uri="http://schemas.openxmlformats.org/drawingml/2006/picture">
                <pic:pic xmlns:pic="http://schemas.openxmlformats.org/drawingml/2006/picture">
                  <pic:nvPicPr>
                    <pic:cNvPr id="1" name="Рисунок 1" descr="C:\Users\taboychenko\AppData\Local\Microsoft\Windows\Temporary Internet Files\Content.Outlook\F3XXZFUN\RN_logo_nk_rus_cmyk (2).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1470" cy="838200"/>
                    </a:xfrm>
                    <a:prstGeom prst="rect">
                      <a:avLst/>
                    </a:prstGeom>
                    <a:noFill/>
                    <a:ln>
                      <a:noFill/>
                    </a:ln>
                  </pic:spPr>
                </pic:pic>
              </a:graphicData>
            </a:graphic>
          </wp:inline>
        </w:drawing>
      </w:r>
    </w:p>
    <w:p>
      <w:pPr>
        <w:pStyle w:val="12"/>
        <w:spacing w:line="360" w:lineRule="auto"/>
        <w:ind w:left="5390"/>
        <w:rPr>
          <w:rFonts w:ascii="Arial" w:hAnsi="Arial" w:cs="Arial"/>
          <w:b/>
          <w:sz w:val="20"/>
          <w:szCs w:val="20"/>
          <w:lang w:val="en-US"/>
        </w:rPr>
      </w:pPr>
    </w:p>
    <w:tbl>
      <w:tblPr>
        <w:tblW w:w="9854" w:type="dxa"/>
        <w:tblLook w:val="01E0" w:firstRow="1" w:lastRow="1" w:firstColumn="1" w:lastColumn="1" w:noHBand="0" w:noVBand="0"/>
      </w:tblPr>
      <w:tblGrid>
        <w:gridCol w:w="4927"/>
        <w:gridCol w:w="4927"/>
      </w:tblGrid>
      <w:tr>
        <w:tc>
          <w:tcPr>
            <w:tcW w:w="4927" w:type="dxa"/>
            <w:shd w:val="clear" w:color="auto" w:fill="auto"/>
          </w:tcPr>
          <w:p>
            <w:pPr>
              <w:pStyle w:val="afff2"/>
              <w:widowControl w:val="0"/>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t xml:space="preserve">УТВЕРЖДЕНЫ </w:t>
            </w:r>
          </w:p>
          <w:p>
            <w:pPr>
              <w:pStyle w:val="afff2"/>
              <w:widowControl w:val="0"/>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t>Приказом ОАО «Удмуртнефть»</w:t>
            </w:r>
          </w:p>
          <w:p>
            <w:pPr>
              <w:pStyle w:val="afff2"/>
              <w:widowControl w:val="0"/>
              <w:overflowPunct w:val="0"/>
              <w:autoSpaceDE w:val="0"/>
              <w:autoSpaceDN w:val="0"/>
              <w:adjustRightInd w:val="0"/>
              <w:spacing w:line="360" w:lineRule="auto"/>
              <w:textAlignment w:val="baseline"/>
              <w:rPr>
                <w:rFonts w:ascii="Arial" w:hAnsi="Arial" w:cs="Arial"/>
                <w:b/>
                <w:sz w:val="20"/>
                <w:szCs w:val="20"/>
              </w:rPr>
            </w:pPr>
            <w:r>
              <w:rPr>
                <w:rFonts w:ascii="Arial" w:hAnsi="Arial" w:cs="Arial"/>
                <w:b/>
                <w:sz w:val="20"/>
                <w:szCs w:val="20"/>
              </w:rPr>
              <w:t>от «25» мая 2017 № 419</w:t>
            </w:r>
          </w:p>
          <w:p>
            <w:pPr>
              <w:pStyle w:val="afff2"/>
              <w:widowControl w:val="0"/>
              <w:overflowPunct w:val="0"/>
              <w:autoSpaceDE w:val="0"/>
              <w:autoSpaceDN w:val="0"/>
              <w:adjustRightInd w:val="0"/>
              <w:spacing w:after="160" w:line="360" w:lineRule="auto"/>
              <w:textAlignment w:val="baseline"/>
              <w:rPr>
                <w:rFonts w:ascii="Arial" w:hAnsi="Arial" w:cs="Arial"/>
              </w:rPr>
            </w:pPr>
            <w:r>
              <w:rPr>
                <w:rFonts w:ascii="Arial" w:hAnsi="Arial" w:cs="Arial"/>
                <w:b/>
                <w:sz w:val="20"/>
                <w:szCs w:val="20"/>
              </w:rPr>
              <w:t>Введены в действие «25» мая 2017</w:t>
            </w:r>
          </w:p>
        </w:tc>
        <w:tc>
          <w:tcPr>
            <w:tcW w:w="4927" w:type="dxa"/>
            <w:shd w:val="clear" w:color="auto" w:fill="auto"/>
          </w:tcPr>
          <w:p>
            <w:pPr>
              <w:pStyle w:val="afff2"/>
              <w:widowControl w:val="0"/>
              <w:overflowPunct w:val="0"/>
              <w:autoSpaceDE w:val="0"/>
              <w:autoSpaceDN w:val="0"/>
              <w:adjustRightInd w:val="0"/>
              <w:spacing w:line="360" w:lineRule="auto"/>
              <w:ind w:left="460"/>
              <w:textAlignment w:val="baseline"/>
              <w:rPr>
                <w:rFonts w:ascii="Arial" w:hAnsi="Arial" w:cs="Arial"/>
                <w:b/>
                <w:sz w:val="20"/>
                <w:szCs w:val="20"/>
              </w:rPr>
            </w:pPr>
            <w:r>
              <w:rPr>
                <w:rFonts w:ascii="Arial" w:hAnsi="Arial" w:cs="Arial"/>
                <w:b/>
                <w:sz w:val="20"/>
                <w:szCs w:val="20"/>
              </w:rPr>
              <w:t xml:space="preserve">УТВЕРЖДЕНЫ </w:t>
            </w:r>
          </w:p>
          <w:p>
            <w:pPr>
              <w:pStyle w:val="afff2"/>
              <w:widowControl w:val="0"/>
              <w:overflowPunct w:val="0"/>
              <w:autoSpaceDE w:val="0"/>
              <w:autoSpaceDN w:val="0"/>
              <w:adjustRightInd w:val="0"/>
              <w:spacing w:line="360" w:lineRule="auto"/>
              <w:ind w:left="460"/>
              <w:textAlignment w:val="baseline"/>
              <w:rPr>
                <w:rFonts w:ascii="Arial" w:hAnsi="Arial" w:cs="Arial"/>
                <w:b/>
                <w:sz w:val="20"/>
                <w:szCs w:val="20"/>
              </w:rPr>
            </w:pPr>
            <w:r>
              <w:rPr>
                <w:rFonts w:ascii="Arial" w:hAnsi="Arial" w:cs="Arial"/>
                <w:b/>
                <w:sz w:val="20"/>
                <w:szCs w:val="20"/>
              </w:rPr>
              <w:t>Приказом ПАО «НК «Роснефть»</w:t>
            </w:r>
          </w:p>
          <w:p>
            <w:pPr>
              <w:pStyle w:val="afff2"/>
              <w:widowControl w:val="0"/>
              <w:overflowPunct w:val="0"/>
              <w:autoSpaceDE w:val="0"/>
              <w:autoSpaceDN w:val="0"/>
              <w:adjustRightInd w:val="0"/>
              <w:spacing w:line="360" w:lineRule="auto"/>
              <w:ind w:left="460"/>
              <w:textAlignment w:val="baseline"/>
              <w:rPr>
                <w:rFonts w:ascii="Arial" w:hAnsi="Arial" w:cs="Arial"/>
                <w:b/>
                <w:sz w:val="20"/>
                <w:szCs w:val="20"/>
              </w:rPr>
            </w:pPr>
            <w:r>
              <w:rPr>
                <w:rFonts w:ascii="Arial" w:hAnsi="Arial" w:cs="Arial"/>
                <w:b/>
                <w:sz w:val="20"/>
                <w:szCs w:val="20"/>
              </w:rPr>
              <w:t>от «21» апреля 2017 г. № 220</w:t>
            </w:r>
          </w:p>
          <w:p>
            <w:pPr>
              <w:pStyle w:val="afff2"/>
              <w:widowControl w:val="0"/>
              <w:overflowPunct w:val="0"/>
              <w:autoSpaceDE w:val="0"/>
              <w:autoSpaceDN w:val="0"/>
              <w:adjustRightInd w:val="0"/>
              <w:spacing w:line="360" w:lineRule="auto"/>
              <w:ind w:left="460"/>
              <w:textAlignment w:val="baseline"/>
              <w:rPr>
                <w:rFonts w:ascii="Arial" w:hAnsi="Arial" w:cs="Arial"/>
              </w:rPr>
            </w:pPr>
            <w:r>
              <w:rPr>
                <w:rFonts w:ascii="Arial" w:hAnsi="Arial" w:cs="Arial"/>
                <w:b/>
                <w:sz w:val="20"/>
                <w:szCs w:val="20"/>
              </w:rPr>
              <w:t>Введены в действие «21» апреля 2017 г.</w:t>
            </w:r>
          </w:p>
        </w:tc>
      </w:tr>
    </w:tbl>
    <w:p>
      <w:pPr>
        <w:rPr>
          <w:rFonts w:ascii="EuropeDemiC" w:hAnsi="EuropeDemiC"/>
          <w:sz w:val="20"/>
          <w:szCs w:val="20"/>
        </w:rPr>
      </w:pPr>
    </w:p>
    <w:p>
      <w:pPr>
        <w:rPr>
          <w:rFonts w:ascii="EuropeDemiC" w:hAnsi="EuropeDemiC"/>
          <w:sz w:val="20"/>
          <w:szCs w:val="20"/>
        </w:rPr>
      </w:pPr>
    </w:p>
    <w:p>
      <w:pPr>
        <w:rPr>
          <w:rFonts w:ascii="EuropeDemiC" w:hAnsi="EuropeDemiC"/>
          <w:sz w:val="20"/>
          <w:szCs w:val="20"/>
        </w:rPr>
      </w:pPr>
    </w:p>
    <w:p>
      <w:pPr>
        <w:tabs>
          <w:tab w:val="left" w:pos="889"/>
        </w:tabs>
        <w:rPr>
          <w:rFonts w:ascii="EuropeDemiC" w:hAnsi="EuropeDemiC"/>
          <w:sz w:val="20"/>
          <w:szCs w:val="20"/>
        </w:rPr>
      </w:pPr>
    </w:p>
    <w:p>
      <w:pPr>
        <w:rPr>
          <w:rFonts w:ascii="EuropeDemiC" w:hAnsi="EuropeDemiC"/>
          <w:sz w:val="20"/>
          <w:szCs w:val="20"/>
        </w:rPr>
      </w:pPr>
    </w:p>
    <w:p>
      <w:pPr>
        <w:rPr>
          <w:rFonts w:ascii="EuropeDemiC" w:hAnsi="EuropeDemiC"/>
          <w:sz w:val="20"/>
          <w:szCs w:val="20"/>
        </w:rPr>
      </w:pPr>
      <w:bookmarkStart w:id="0" w:name="_GoBack"/>
      <w:bookmarkEnd w:id="0"/>
    </w:p>
    <w:p>
      <w:pPr>
        <w:rPr>
          <w:rFonts w:ascii="EuropeDemiC" w:hAnsi="EuropeDemiC"/>
          <w:sz w:val="20"/>
          <w:szCs w:val="20"/>
        </w:rPr>
      </w:pPr>
    </w:p>
    <w:p>
      <w:pPr>
        <w:rPr>
          <w:rFonts w:ascii="EuropeDemiC" w:hAnsi="EuropeDemiC"/>
          <w:sz w:val="20"/>
          <w:szCs w:val="20"/>
        </w:rPr>
      </w:pPr>
    </w:p>
    <w:p>
      <w:pPr>
        <w:rPr>
          <w:rFonts w:ascii="EuropeDemiC" w:hAnsi="EuropeDemiC"/>
          <w:sz w:val="20"/>
          <w:szCs w:val="20"/>
        </w:rPr>
      </w:pPr>
    </w:p>
    <w:p>
      <w:pPr>
        <w:rPr>
          <w:rFonts w:ascii="EuropeDemiC" w:hAnsi="EuropeDemiC"/>
          <w:sz w:val="20"/>
          <w:szCs w:val="20"/>
        </w:rPr>
      </w:pPr>
    </w:p>
    <w:p>
      <w:pPr>
        <w:rPr>
          <w:rFonts w:ascii="EuropeDemiC" w:hAnsi="EuropeDemiC"/>
          <w:sz w:val="20"/>
          <w:szCs w:val="20"/>
        </w:rPr>
      </w:pPr>
    </w:p>
    <w:p>
      <w:pPr>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trPr>
          <w:trHeight w:val="356"/>
          <w:jc w:val="center"/>
        </w:trPr>
        <w:tc>
          <w:tcPr>
            <w:tcW w:w="5000" w:type="pct"/>
            <w:tcBorders>
              <w:bottom w:val="single" w:sz="12" w:space="0" w:color="FFD200"/>
            </w:tcBorders>
          </w:tcPr>
          <w:p>
            <w:pPr>
              <w:jc w:val="center"/>
              <w:rPr>
                <w:rFonts w:ascii="Arial" w:hAnsi="Arial" w:cs="Arial"/>
                <w:b/>
                <w:spacing w:val="-4"/>
                <w:sz w:val="36"/>
                <w:szCs w:val="36"/>
              </w:rPr>
            </w:pPr>
            <w:r>
              <w:rPr>
                <w:rFonts w:ascii="Arial" w:hAnsi="Arial" w:cs="Arial"/>
                <w:b/>
                <w:caps/>
                <w:spacing w:val="-4"/>
                <w:sz w:val="36"/>
                <w:szCs w:val="36"/>
              </w:rPr>
              <w:t>методические указания компании</w:t>
            </w:r>
          </w:p>
        </w:tc>
      </w:tr>
    </w:tbl>
    <w:p>
      <w:pPr>
        <w:spacing w:before="60"/>
        <w:jc w:val="center"/>
        <w:rPr>
          <w:rFonts w:ascii="Arial" w:hAnsi="Arial" w:cs="Arial"/>
          <w:b/>
          <w:spacing w:val="-4"/>
          <w:szCs w:val="24"/>
        </w:rPr>
      </w:pPr>
      <w:r>
        <w:rPr>
          <w:rFonts w:ascii="Arial" w:hAnsi="Arial" w:cs="Arial"/>
          <w:b/>
          <w:spacing w:val="-4"/>
          <w:szCs w:val="24"/>
        </w:rPr>
        <w:t>БЕЗОПАСНОСТЬ ТЕЛЕКОММУНИКАЦИОННОЙ ИНФРАСТРУКТУРЫ</w:t>
      </w:r>
    </w:p>
    <w:p>
      <w:pPr>
        <w:jc w:val="center"/>
        <w:rPr>
          <w:rFonts w:ascii="EuropeDemiC" w:eastAsia="Times New Roman" w:hAnsi="EuropeDemiC"/>
          <w:sz w:val="20"/>
          <w:szCs w:val="20"/>
          <w:lang w:eastAsia="ru-RU"/>
        </w:rPr>
      </w:pPr>
    </w:p>
    <w:p>
      <w:pPr>
        <w:jc w:val="center"/>
        <w:rPr>
          <w:rFonts w:ascii="EuropeDemiC" w:eastAsia="Times New Roman" w:hAnsi="EuropeDemiC"/>
          <w:sz w:val="20"/>
          <w:szCs w:val="20"/>
          <w:lang w:eastAsia="ru-RU"/>
        </w:rPr>
      </w:pPr>
    </w:p>
    <w:p>
      <w:pPr>
        <w:jc w:val="center"/>
        <w:rPr>
          <w:rFonts w:ascii="EuropeDemiC" w:eastAsia="Times New Roman" w:hAnsi="EuropeDemiC"/>
          <w:sz w:val="20"/>
          <w:szCs w:val="20"/>
          <w:lang w:eastAsia="ru-RU"/>
        </w:rPr>
      </w:pPr>
    </w:p>
    <w:p>
      <w:pPr>
        <w:jc w:val="center"/>
        <w:rPr>
          <w:rFonts w:ascii="EuropeDemiC" w:eastAsia="Times New Roman" w:hAnsi="EuropeDemiC"/>
          <w:sz w:val="20"/>
          <w:szCs w:val="20"/>
          <w:lang w:eastAsia="ru-RU"/>
        </w:rPr>
      </w:pPr>
    </w:p>
    <w:p>
      <w:pPr>
        <w:jc w:val="center"/>
        <w:rPr>
          <w:rFonts w:ascii="EuropeDemiC" w:eastAsia="Times New Roman" w:hAnsi="EuropeDemiC"/>
          <w:sz w:val="20"/>
          <w:szCs w:val="20"/>
          <w:lang w:eastAsia="ru-RU"/>
        </w:rPr>
      </w:pPr>
    </w:p>
    <w:p>
      <w:pPr>
        <w:jc w:val="center"/>
        <w:rPr>
          <w:rFonts w:ascii="Arial" w:hAnsi="Arial" w:cs="Arial"/>
          <w:b/>
          <w:sz w:val="16"/>
          <w:szCs w:val="16"/>
        </w:rPr>
      </w:pPr>
      <w:bookmarkStart w:id="1" w:name="_Toc105574104"/>
      <w:bookmarkStart w:id="2" w:name="_Toc106177342"/>
      <w:bookmarkStart w:id="3" w:name="_Toc107905816"/>
      <w:bookmarkStart w:id="4" w:name="_Toc107912851"/>
      <w:bookmarkStart w:id="5" w:name="_Toc107913881"/>
      <w:bookmarkStart w:id="6" w:name="_Toc108410060"/>
      <w:bookmarkStart w:id="7" w:name="_Toc108427364"/>
      <w:bookmarkStart w:id="8" w:name="_Toc108508153"/>
      <w:bookmarkStart w:id="9" w:name="_Toc108601231"/>
      <w:r>
        <w:rPr>
          <w:rFonts w:ascii="Arial" w:hAnsi="Arial" w:cs="Arial"/>
          <w:b/>
          <w:snapToGrid w:val="0"/>
        </w:rPr>
        <w:t>№</w:t>
      </w:r>
      <w:bookmarkEnd w:id="1"/>
      <w:bookmarkEnd w:id="2"/>
      <w:bookmarkEnd w:id="3"/>
      <w:bookmarkEnd w:id="4"/>
      <w:bookmarkEnd w:id="5"/>
      <w:bookmarkEnd w:id="6"/>
      <w:bookmarkEnd w:id="7"/>
      <w:bookmarkEnd w:id="8"/>
      <w:bookmarkEnd w:id="9"/>
      <w:r>
        <w:rPr>
          <w:rFonts w:ascii="Arial" w:hAnsi="Arial" w:cs="Arial"/>
          <w:b/>
          <w:snapToGrid w:val="0"/>
        </w:rPr>
        <w:t xml:space="preserve"> П3-11.01 М-0022</w:t>
      </w: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20"/>
          <w:szCs w:val="20"/>
        </w:rPr>
      </w:pPr>
      <w:r>
        <w:rPr>
          <w:rFonts w:ascii="Arial" w:hAnsi="Arial" w:cs="Arial"/>
          <w:b/>
          <w:sz w:val="20"/>
          <w:szCs w:val="20"/>
        </w:rPr>
        <w:t>ВЕРСИЯ 1.00</w:t>
      </w: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6"/>
          <w:szCs w:val="16"/>
        </w:rPr>
      </w:pPr>
    </w:p>
    <w:p>
      <w:pPr>
        <w:jc w:val="center"/>
        <w:rPr>
          <w:rFonts w:ascii="Arial" w:hAnsi="Arial" w:cs="Arial"/>
          <w:b/>
          <w:sz w:val="18"/>
          <w:szCs w:val="18"/>
        </w:rPr>
      </w:pPr>
      <w:r>
        <w:rPr>
          <w:rFonts w:ascii="Arial" w:hAnsi="Arial" w:cs="Arial"/>
          <w:b/>
          <w:sz w:val="18"/>
          <w:szCs w:val="18"/>
        </w:rPr>
        <w:t>МОСКВА</w:t>
      </w:r>
    </w:p>
    <w:p>
      <w:pPr>
        <w:jc w:val="center"/>
      </w:pPr>
      <w:r>
        <w:rPr>
          <w:rFonts w:ascii="Arial" w:hAnsi="Arial" w:cs="Arial"/>
          <w:b/>
          <w:sz w:val="18"/>
          <w:szCs w:val="18"/>
        </w:rPr>
        <w:t>2017</w:t>
      </w:r>
    </w:p>
    <w:p>
      <w:pPr>
        <w:pStyle w:val="12"/>
        <w:spacing w:line="360" w:lineRule="auto"/>
        <w:rPr>
          <w:noProof/>
          <w:lang w:eastAsia="ru-RU"/>
        </w:rPr>
        <w:sectPr>
          <w:pgSz w:w="11906" w:h="16838" w:code="9"/>
          <w:pgMar w:top="567" w:right="1021" w:bottom="227" w:left="1247" w:header="737" w:footer="680" w:gutter="0"/>
          <w:cols w:space="708"/>
          <w:titlePg/>
          <w:docGrid w:linePitch="360"/>
        </w:sectPr>
      </w:pPr>
    </w:p>
    <w:p>
      <w:pPr>
        <w:pStyle w:val="10"/>
        <w:keepNext w:val="0"/>
        <w:spacing w:before="0" w:after="0"/>
        <w:rPr>
          <w:caps/>
          <w:kern w:val="0"/>
        </w:rPr>
      </w:pPr>
      <w:bookmarkStart w:id="10" w:name="_Toc286668714"/>
      <w:bookmarkStart w:id="11" w:name="_Toc286668798"/>
      <w:bookmarkStart w:id="12" w:name="_Toc286679744"/>
      <w:bookmarkStart w:id="13" w:name="_Toc287611791"/>
      <w:bookmarkStart w:id="14" w:name="_Toc326669172"/>
      <w:bookmarkStart w:id="15" w:name="_Toc457313589"/>
      <w:bookmarkStart w:id="16" w:name="_Toc479164342"/>
      <w:bookmarkStart w:id="17" w:name="_Toc480899102"/>
      <w:r>
        <w:rPr>
          <w:kern w:val="0"/>
        </w:rPr>
        <w:lastRenderedPageBreak/>
        <w:t>СОДЕРЖАНИЕ</w:t>
      </w:r>
      <w:bookmarkEnd w:id="10"/>
      <w:bookmarkEnd w:id="11"/>
      <w:bookmarkEnd w:id="12"/>
      <w:bookmarkEnd w:id="13"/>
      <w:bookmarkEnd w:id="14"/>
      <w:bookmarkEnd w:id="15"/>
      <w:bookmarkEnd w:id="16"/>
      <w:bookmarkEnd w:id="17"/>
    </w:p>
    <w:p/>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r>
        <w:rPr>
          <w:sz w:val="20"/>
          <w:szCs w:val="20"/>
          <w:highlight w:val="cyan"/>
        </w:rPr>
        <w:fldChar w:fldCharType="begin"/>
      </w:r>
      <w:r>
        <w:rPr>
          <w:sz w:val="20"/>
          <w:szCs w:val="20"/>
          <w:highlight w:val="cyan"/>
        </w:rPr>
        <w:instrText xml:space="preserve"> TOC \o "1-3" \h \z \u </w:instrText>
      </w:r>
      <w:r>
        <w:rPr>
          <w:sz w:val="20"/>
          <w:szCs w:val="20"/>
          <w:highlight w:val="cyan"/>
        </w:rPr>
        <w:fldChar w:fldCharType="separate"/>
      </w:r>
      <w:hyperlink w:anchor="_Toc480899103" w:history="1">
        <w:r>
          <w:rPr>
            <w:rStyle w:val="aa"/>
            <w:rFonts w:eastAsia="Times New Roman" w:cs="Arial"/>
            <w:caps w:val="0"/>
            <w:snapToGrid w:val="0"/>
            <w:color w:val="auto"/>
            <w:sz w:val="20"/>
            <w:szCs w:val="20"/>
            <w:lang w:eastAsia="ru-RU"/>
          </w:rPr>
          <w:t>ВВОДНЫЕ ПОЛОЖЕНИЯ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_Toc480899103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3</w:t>
        </w:r>
        <w:r>
          <w:rPr>
            <w:rStyle w:val="aa"/>
            <w:rFonts w:eastAsia="Times New Roman" w:cs="Arial"/>
            <w:caps w:val="0"/>
            <w:snapToGrid w:val="0"/>
            <w:webHidden/>
            <w:color w:val="auto"/>
            <w:sz w:val="20"/>
            <w:szCs w:val="20"/>
            <w:lang w:eastAsia="ru-RU"/>
          </w:rPr>
          <w:fldChar w:fldCharType="end"/>
        </w:r>
      </w:hyperlink>
    </w:p>
    <w:p>
      <w:pPr>
        <w:pStyle w:val="22"/>
        <w:tabs>
          <w:tab w:val="clear" w:pos="9720"/>
          <w:tab w:val="clear" w:pos="9855"/>
          <w:tab w:val="right" w:leader="dot" w:pos="9639"/>
        </w:tabs>
        <w:spacing w:before="200"/>
        <w:ind w:left="851" w:hanging="425"/>
        <w:rPr>
          <w:rStyle w:val="aa"/>
          <w:rFonts w:eastAsia="Times New Roman" w:cs="Arial"/>
          <w:smallCaps/>
          <w:snapToGrid w:val="0"/>
          <w:color w:val="auto"/>
          <w:sz w:val="18"/>
          <w:szCs w:val="18"/>
        </w:rPr>
      </w:pPr>
      <w:hyperlink w:anchor="_Toc480899104" w:history="1">
        <w:r>
          <w:rPr>
            <w:rStyle w:val="aa"/>
            <w:rFonts w:eastAsia="Times New Roman" w:cs="Arial"/>
            <w:bCs w:val="0"/>
            <w:smallCaps/>
            <w:snapToGrid w:val="0"/>
            <w:color w:val="auto"/>
            <w:sz w:val="18"/>
            <w:szCs w:val="18"/>
            <w:lang w:eastAsia="ru-RU"/>
          </w:rPr>
          <w:t>НАЗНАЧЕНИЕ</w:t>
        </w:r>
        <w:r>
          <w:rPr>
            <w:rStyle w:val="aa"/>
            <w:rFonts w:eastAsia="Times New Roman" w:cs="Arial"/>
            <w:bCs w:val="0"/>
            <w:smallCaps/>
            <w:snapToGrid w:val="0"/>
            <w:webHidden/>
            <w:color w:val="auto"/>
            <w:sz w:val="18"/>
            <w:szCs w:val="18"/>
            <w:lang w:eastAsia="ru-RU"/>
          </w:rPr>
          <w:tab/>
        </w:r>
        <w:r>
          <w:rPr>
            <w:rStyle w:val="aa"/>
            <w:rFonts w:eastAsia="Times New Roman" w:cs="Arial"/>
            <w:bCs w:val="0"/>
            <w:smallCaps/>
            <w:snapToGrid w:val="0"/>
            <w:webHidden/>
            <w:color w:val="auto"/>
            <w:sz w:val="18"/>
            <w:szCs w:val="18"/>
            <w:lang w:eastAsia="ru-RU"/>
          </w:rPr>
          <w:fldChar w:fldCharType="begin"/>
        </w:r>
        <w:r>
          <w:rPr>
            <w:rStyle w:val="aa"/>
            <w:rFonts w:eastAsia="Times New Roman" w:cs="Arial"/>
            <w:bCs w:val="0"/>
            <w:smallCaps/>
            <w:snapToGrid w:val="0"/>
            <w:webHidden/>
            <w:color w:val="auto"/>
            <w:sz w:val="18"/>
            <w:szCs w:val="18"/>
            <w:lang w:eastAsia="ru-RU"/>
          </w:rPr>
          <w:instrText xml:space="preserve"> PAGEREF _Toc480899104 \h </w:instrText>
        </w:r>
        <w:r>
          <w:rPr>
            <w:rStyle w:val="aa"/>
            <w:rFonts w:eastAsia="Times New Roman" w:cs="Arial"/>
            <w:bCs w:val="0"/>
            <w:smallCaps/>
            <w:snapToGrid w:val="0"/>
            <w:webHidden/>
            <w:color w:val="auto"/>
            <w:sz w:val="18"/>
            <w:szCs w:val="18"/>
            <w:lang w:eastAsia="ru-RU"/>
          </w:rPr>
        </w:r>
        <w:r>
          <w:rPr>
            <w:rStyle w:val="aa"/>
            <w:rFonts w:eastAsia="Times New Roman" w:cs="Arial"/>
            <w:bCs w:val="0"/>
            <w:smallCaps/>
            <w:snapToGrid w:val="0"/>
            <w:webHidden/>
            <w:color w:val="auto"/>
            <w:sz w:val="18"/>
            <w:szCs w:val="18"/>
            <w:lang w:eastAsia="ru-RU"/>
          </w:rPr>
          <w:fldChar w:fldCharType="separate"/>
        </w:r>
        <w:r>
          <w:rPr>
            <w:rStyle w:val="aa"/>
            <w:rFonts w:eastAsia="Times New Roman" w:cs="Arial"/>
            <w:bCs w:val="0"/>
            <w:smallCaps/>
            <w:snapToGrid w:val="0"/>
            <w:webHidden/>
            <w:color w:val="auto"/>
            <w:sz w:val="18"/>
            <w:szCs w:val="18"/>
            <w:lang w:eastAsia="ru-RU"/>
          </w:rPr>
          <w:t>3</w:t>
        </w:r>
        <w:r>
          <w:rPr>
            <w:rStyle w:val="aa"/>
            <w:rFonts w:eastAsia="Times New Roman" w:cs="Arial"/>
            <w:bCs w:val="0"/>
            <w:smallCaps/>
            <w:snapToGrid w:val="0"/>
            <w:webHidden/>
            <w:color w:val="auto"/>
            <w:sz w:val="18"/>
            <w:szCs w:val="18"/>
            <w:lang w:eastAsia="ru-RU"/>
          </w:rPr>
          <w:fldChar w:fldCharType="end"/>
        </w:r>
      </w:hyperlink>
    </w:p>
    <w:p>
      <w:pPr>
        <w:pStyle w:val="22"/>
        <w:tabs>
          <w:tab w:val="clear" w:pos="9720"/>
          <w:tab w:val="clear" w:pos="9855"/>
          <w:tab w:val="right" w:leader="dot" w:pos="9639"/>
        </w:tabs>
        <w:spacing w:before="200"/>
        <w:ind w:left="851" w:hanging="425"/>
        <w:rPr>
          <w:rStyle w:val="aa"/>
          <w:rFonts w:eastAsia="Times New Roman" w:cs="Arial"/>
          <w:smallCaps/>
          <w:snapToGrid w:val="0"/>
          <w:color w:val="auto"/>
          <w:sz w:val="18"/>
          <w:szCs w:val="18"/>
        </w:rPr>
      </w:pPr>
      <w:hyperlink w:anchor="_Toc480899105" w:history="1">
        <w:r>
          <w:rPr>
            <w:rStyle w:val="aa"/>
            <w:rFonts w:eastAsia="Times New Roman" w:cs="Arial"/>
            <w:bCs w:val="0"/>
            <w:smallCaps/>
            <w:snapToGrid w:val="0"/>
            <w:color w:val="auto"/>
            <w:sz w:val="18"/>
            <w:szCs w:val="18"/>
            <w:lang w:eastAsia="ru-RU"/>
          </w:rPr>
          <w:t>ОБЛАСТЬ ДЕЙСТВИЯ</w:t>
        </w:r>
        <w:r>
          <w:rPr>
            <w:rStyle w:val="aa"/>
            <w:rFonts w:eastAsia="Times New Roman" w:cs="Arial"/>
            <w:bCs w:val="0"/>
            <w:smallCaps/>
            <w:snapToGrid w:val="0"/>
            <w:webHidden/>
            <w:color w:val="auto"/>
            <w:sz w:val="18"/>
            <w:szCs w:val="18"/>
            <w:lang w:eastAsia="ru-RU"/>
          </w:rPr>
          <w:tab/>
        </w:r>
        <w:r>
          <w:rPr>
            <w:rStyle w:val="aa"/>
            <w:rFonts w:eastAsia="Times New Roman" w:cs="Arial"/>
            <w:bCs w:val="0"/>
            <w:smallCaps/>
            <w:snapToGrid w:val="0"/>
            <w:webHidden/>
            <w:color w:val="auto"/>
            <w:sz w:val="18"/>
            <w:szCs w:val="18"/>
            <w:lang w:eastAsia="ru-RU"/>
          </w:rPr>
          <w:fldChar w:fldCharType="begin"/>
        </w:r>
        <w:r>
          <w:rPr>
            <w:rStyle w:val="aa"/>
            <w:rFonts w:eastAsia="Times New Roman" w:cs="Arial"/>
            <w:bCs w:val="0"/>
            <w:smallCaps/>
            <w:snapToGrid w:val="0"/>
            <w:webHidden/>
            <w:color w:val="auto"/>
            <w:sz w:val="18"/>
            <w:szCs w:val="18"/>
            <w:lang w:eastAsia="ru-RU"/>
          </w:rPr>
          <w:instrText xml:space="preserve"> PAGEREF _Toc480899105 \h </w:instrText>
        </w:r>
        <w:r>
          <w:rPr>
            <w:rStyle w:val="aa"/>
            <w:rFonts w:eastAsia="Times New Roman" w:cs="Arial"/>
            <w:bCs w:val="0"/>
            <w:smallCaps/>
            <w:snapToGrid w:val="0"/>
            <w:webHidden/>
            <w:color w:val="auto"/>
            <w:sz w:val="18"/>
            <w:szCs w:val="18"/>
            <w:lang w:eastAsia="ru-RU"/>
          </w:rPr>
        </w:r>
        <w:r>
          <w:rPr>
            <w:rStyle w:val="aa"/>
            <w:rFonts w:eastAsia="Times New Roman" w:cs="Arial"/>
            <w:bCs w:val="0"/>
            <w:smallCaps/>
            <w:snapToGrid w:val="0"/>
            <w:webHidden/>
            <w:color w:val="auto"/>
            <w:sz w:val="18"/>
            <w:szCs w:val="18"/>
            <w:lang w:eastAsia="ru-RU"/>
          </w:rPr>
          <w:fldChar w:fldCharType="separate"/>
        </w:r>
        <w:r>
          <w:rPr>
            <w:rStyle w:val="aa"/>
            <w:rFonts w:eastAsia="Times New Roman" w:cs="Arial"/>
            <w:bCs w:val="0"/>
            <w:smallCaps/>
            <w:snapToGrid w:val="0"/>
            <w:webHidden/>
            <w:color w:val="auto"/>
            <w:sz w:val="18"/>
            <w:szCs w:val="18"/>
            <w:lang w:eastAsia="ru-RU"/>
          </w:rPr>
          <w:t>3</w:t>
        </w:r>
        <w:r>
          <w:rPr>
            <w:rStyle w:val="aa"/>
            <w:rFonts w:eastAsia="Times New Roman" w:cs="Arial"/>
            <w:bCs w:val="0"/>
            <w:smallCaps/>
            <w:snapToGrid w:val="0"/>
            <w:webHidden/>
            <w:color w:val="auto"/>
            <w:sz w:val="18"/>
            <w:szCs w:val="18"/>
            <w:lang w:eastAsia="ru-RU"/>
          </w:rPr>
          <w:fldChar w:fldCharType="end"/>
        </w:r>
      </w:hyperlink>
    </w:p>
    <w:p>
      <w:pPr>
        <w:pStyle w:val="22"/>
        <w:tabs>
          <w:tab w:val="clear" w:pos="9720"/>
          <w:tab w:val="clear" w:pos="9855"/>
          <w:tab w:val="right" w:leader="dot" w:pos="9639"/>
        </w:tabs>
        <w:spacing w:before="200"/>
        <w:ind w:left="851" w:hanging="425"/>
        <w:rPr>
          <w:rStyle w:val="aa"/>
          <w:rFonts w:eastAsia="Times New Roman" w:cs="Arial"/>
          <w:smallCaps/>
          <w:snapToGrid w:val="0"/>
          <w:color w:val="auto"/>
          <w:sz w:val="18"/>
          <w:szCs w:val="18"/>
        </w:rPr>
      </w:pPr>
      <w:hyperlink w:anchor="_Toc480899106" w:history="1">
        <w:r>
          <w:rPr>
            <w:rStyle w:val="aa"/>
            <w:rFonts w:eastAsia="Times New Roman" w:cs="Arial"/>
            <w:bCs w:val="0"/>
            <w:smallCaps/>
            <w:snapToGrid w:val="0"/>
            <w:color w:val="auto"/>
            <w:sz w:val="18"/>
            <w:szCs w:val="18"/>
            <w:lang w:eastAsia="ru-RU"/>
          </w:rPr>
          <w:t>ПЕРИОД ДЕЙСТВИЯ И ПОРЯДОК ВНЕСЕНИЯ ИЗМЕНЕНИЙ</w:t>
        </w:r>
        <w:r>
          <w:rPr>
            <w:rStyle w:val="aa"/>
            <w:rFonts w:eastAsia="Times New Roman" w:cs="Arial"/>
            <w:bCs w:val="0"/>
            <w:smallCaps/>
            <w:snapToGrid w:val="0"/>
            <w:webHidden/>
            <w:color w:val="auto"/>
            <w:sz w:val="18"/>
            <w:szCs w:val="18"/>
            <w:lang w:eastAsia="ru-RU"/>
          </w:rPr>
          <w:tab/>
        </w:r>
        <w:r>
          <w:rPr>
            <w:rStyle w:val="aa"/>
            <w:rFonts w:eastAsia="Times New Roman" w:cs="Arial"/>
            <w:bCs w:val="0"/>
            <w:smallCaps/>
            <w:snapToGrid w:val="0"/>
            <w:webHidden/>
            <w:color w:val="auto"/>
            <w:sz w:val="18"/>
            <w:szCs w:val="18"/>
            <w:lang w:eastAsia="ru-RU"/>
          </w:rPr>
          <w:fldChar w:fldCharType="begin"/>
        </w:r>
        <w:r>
          <w:rPr>
            <w:rStyle w:val="aa"/>
            <w:rFonts w:eastAsia="Times New Roman" w:cs="Arial"/>
            <w:bCs w:val="0"/>
            <w:smallCaps/>
            <w:snapToGrid w:val="0"/>
            <w:webHidden/>
            <w:color w:val="auto"/>
            <w:sz w:val="18"/>
            <w:szCs w:val="18"/>
            <w:lang w:eastAsia="ru-RU"/>
          </w:rPr>
          <w:instrText xml:space="preserve"> PAGEREF _Toc480899106 \h </w:instrText>
        </w:r>
        <w:r>
          <w:rPr>
            <w:rStyle w:val="aa"/>
            <w:rFonts w:eastAsia="Times New Roman" w:cs="Arial"/>
            <w:bCs w:val="0"/>
            <w:smallCaps/>
            <w:snapToGrid w:val="0"/>
            <w:webHidden/>
            <w:color w:val="auto"/>
            <w:sz w:val="18"/>
            <w:szCs w:val="18"/>
            <w:lang w:eastAsia="ru-RU"/>
          </w:rPr>
        </w:r>
        <w:r>
          <w:rPr>
            <w:rStyle w:val="aa"/>
            <w:rFonts w:eastAsia="Times New Roman" w:cs="Arial"/>
            <w:bCs w:val="0"/>
            <w:smallCaps/>
            <w:snapToGrid w:val="0"/>
            <w:webHidden/>
            <w:color w:val="auto"/>
            <w:sz w:val="18"/>
            <w:szCs w:val="18"/>
            <w:lang w:eastAsia="ru-RU"/>
          </w:rPr>
          <w:fldChar w:fldCharType="separate"/>
        </w:r>
        <w:r>
          <w:rPr>
            <w:rStyle w:val="aa"/>
            <w:rFonts w:eastAsia="Times New Roman" w:cs="Arial"/>
            <w:bCs w:val="0"/>
            <w:smallCaps/>
            <w:snapToGrid w:val="0"/>
            <w:webHidden/>
            <w:color w:val="auto"/>
            <w:sz w:val="18"/>
            <w:szCs w:val="18"/>
            <w:lang w:eastAsia="ru-RU"/>
          </w:rPr>
          <w:t>4</w:t>
        </w:r>
        <w:r>
          <w:rPr>
            <w:rStyle w:val="aa"/>
            <w:rFonts w:eastAsia="Times New Roman" w:cs="Arial"/>
            <w:bCs w:val="0"/>
            <w:smallCaps/>
            <w:snapToGrid w:val="0"/>
            <w:webHidden/>
            <w:color w:val="auto"/>
            <w:sz w:val="18"/>
            <w:szCs w:val="18"/>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07" w:history="1">
        <w:r>
          <w:rPr>
            <w:rStyle w:val="aa"/>
            <w:rFonts w:eastAsia="Times New Roman" w:cs="Arial"/>
            <w:caps w:val="0"/>
            <w:snapToGrid w:val="0"/>
            <w:color w:val="auto"/>
            <w:sz w:val="20"/>
            <w:szCs w:val="20"/>
            <w:lang w:eastAsia="ru-RU"/>
          </w:rPr>
          <w:t>1.</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ТЕРМИНЫ И ОПРЕДЕЛЕНИЯ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_Toc480899107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5</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08" w:history="1">
        <w:r>
          <w:rPr>
            <w:rStyle w:val="aa"/>
            <w:rFonts w:eastAsia="Times New Roman" w:cs="Arial"/>
            <w:caps w:val="0"/>
            <w:snapToGrid w:val="0"/>
            <w:color w:val="auto"/>
            <w:sz w:val="20"/>
            <w:szCs w:val="20"/>
            <w:lang w:eastAsia="ru-RU"/>
          </w:rPr>
          <w:t>2.</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ОБОЗНАЧЕНИЯ И СОКРАЩЕНИЯ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_Toc480899108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8</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09" w:history="1">
        <w:r>
          <w:rPr>
            <w:rStyle w:val="aa"/>
            <w:rFonts w:eastAsia="Times New Roman" w:cs="Arial"/>
            <w:caps w:val="0"/>
            <w:snapToGrid w:val="0"/>
            <w:color w:val="auto"/>
            <w:sz w:val="20"/>
            <w:szCs w:val="20"/>
            <w:lang w:eastAsia="ru-RU"/>
          </w:rPr>
          <w:t>3.</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ОБЩИЕ ПОЛОЖЕНИЯ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_Toc480899109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11</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0" w:history="1">
        <w:r>
          <w:rPr>
            <w:rStyle w:val="aa"/>
            <w:rFonts w:eastAsia="Times New Roman" w:cs="Arial"/>
            <w:caps w:val="0"/>
            <w:snapToGrid w:val="0"/>
            <w:color w:val="auto"/>
            <w:sz w:val="20"/>
            <w:szCs w:val="20"/>
            <w:lang w:eastAsia="ru-RU"/>
          </w:rPr>
          <w:t>4.</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ТРЕБОВАНИЯ БЕЗОПАСНОСТИ ТЕЛЕКОММУНИКАЦИОННОЙ ИНФРАСТРУКТУРЫ</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_Toc480899110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12</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1" w:history="1">
        <w:r>
          <w:rPr>
            <w:rStyle w:val="aa"/>
            <w:rFonts w:eastAsia="Times New Roman" w:cs="Arial"/>
            <w:caps w:val="0"/>
            <w:snapToGrid w:val="0"/>
            <w:color w:val="auto"/>
            <w:sz w:val="20"/>
            <w:szCs w:val="20"/>
            <w:lang w:eastAsia="ru-RU"/>
          </w:rPr>
          <w:t>5.</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ТРЕБОВАНИЯ К ТЕХНИЧЕСКОЙ ДОКУМЕНТАЦИИ ТЕЛЕКОММУНИКАЦИОННОЙ ИНФРАСТРУКТУРЫ</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_Toc480899111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18</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2" w:history="1">
        <w:r>
          <w:rPr>
            <w:rStyle w:val="aa"/>
            <w:rFonts w:eastAsia="Times New Roman" w:cs="Arial"/>
            <w:caps w:val="0"/>
            <w:snapToGrid w:val="0"/>
            <w:color w:val="auto"/>
            <w:sz w:val="20"/>
            <w:szCs w:val="20"/>
            <w:lang w:eastAsia="ru-RU"/>
          </w:rPr>
          <w:t>6.</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 xml:space="preserve">МЕРЫ ОБЕСПЕЧЕНИЯ БЕЗОПАСНОСТИ ТЕЛЕКОММУНИКАЦИОННОЙ </w:t>
        </w:r>
        <w:r>
          <w:rPr>
            <w:rStyle w:val="aa"/>
            <w:rFonts w:eastAsia="Times New Roman" w:cs="Arial"/>
            <w:caps w:val="0"/>
            <w:snapToGrid w:val="0"/>
            <w:color w:val="auto"/>
            <w:sz w:val="20"/>
            <w:szCs w:val="20"/>
            <w:lang w:eastAsia="ru-RU"/>
          </w:rPr>
          <w:br/>
          <w:t>ИНФРАСТРУКТУРЫ</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_Toc480899112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22</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3" w:history="1">
        <w:r>
          <w:rPr>
            <w:rStyle w:val="aa"/>
            <w:rFonts w:eastAsia="Times New Roman" w:cs="Arial"/>
            <w:caps w:val="0"/>
            <w:snapToGrid w:val="0"/>
            <w:color w:val="auto"/>
            <w:sz w:val="20"/>
            <w:szCs w:val="20"/>
            <w:lang w:eastAsia="ru-RU"/>
          </w:rPr>
          <w:t>7.</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ТРЕБОВАНИЯ К ОБЪЕКТАМ ТЕЛЕКОММУНИКАЦИОННОЙ ИНФРАСТРУКТУРЫ</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_Toc480899113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23</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4" w:history="1">
        <w:r>
          <w:rPr>
            <w:rStyle w:val="aa"/>
            <w:rFonts w:eastAsia="Times New Roman" w:cs="Arial"/>
            <w:caps w:val="0"/>
            <w:snapToGrid w:val="0"/>
            <w:color w:val="auto"/>
            <w:sz w:val="20"/>
            <w:szCs w:val="20"/>
            <w:lang w:eastAsia="ru-RU"/>
          </w:rPr>
          <w:t>8.</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ТРЕБОВАНИЯ БЕЗОПАСНОСТИ СЕТЕЙ СВЯЗИ</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_Toc480899114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35</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5" w:history="1">
        <w:r>
          <w:rPr>
            <w:rStyle w:val="aa"/>
            <w:rFonts w:eastAsia="Times New Roman" w:cs="Arial"/>
            <w:caps w:val="0"/>
            <w:snapToGrid w:val="0"/>
            <w:color w:val="auto"/>
            <w:sz w:val="20"/>
            <w:szCs w:val="20"/>
            <w:lang w:eastAsia="ru-RU"/>
          </w:rPr>
          <w:t>9.</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ССЫЛКИ</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_Toc480899115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42</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6" w:history="1">
        <w:r>
          <w:rPr>
            <w:rStyle w:val="aa"/>
            <w:rFonts w:eastAsia="Times New Roman" w:cs="Arial"/>
            <w:caps w:val="0"/>
            <w:snapToGrid w:val="0"/>
            <w:color w:val="auto"/>
            <w:sz w:val="20"/>
            <w:szCs w:val="20"/>
            <w:lang w:eastAsia="ru-RU"/>
          </w:rPr>
          <w:t>10.</w:t>
        </w:r>
        <w:r>
          <w:rPr>
            <w:rStyle w:val="aa"/>
            <w:rFonts w:eastAsia="Times New Roman" w:cs="Arial"/>
            <w:caps w:val="0"/>
            <w:snapToGrid w:val="0"/>
            <w:color w:val="auto"/>
            <w:sz w:val="20"/>
            <w:szCs w:val="20"/>
          </w:rPr>
          <w:tab/>
        </w:r>
        <w:r>
          <w:rPr>
            <w:rStyle w:val="aa"/>
            <w:rFonts w:eastAsia="Times New Roman" w:cs="Arial"/>
            <w:caps w:val="0"/>
            <w:snapToGrid w:val="0"/>
            <w:color w:val="auto"/>
            <w:sz w:val="20"/>
            <w:szCs w:val="20"/>
            <w:lang w:eastAsia="ru-RU"/>
          </w:rPr>
          <w:t>БИБЛИОГРАФИЯ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_Toc480899116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45</w:t>
        </w:r>
        <w:r>
          <w:rPr>
            <w:rStyle w:val="aa"/>
            <w:rFonts w:eastAsia="Times New Roman" w:cs="Arial"/>
            <w:caps w:val="0"/>
            <w:snapToGrid w:val="0"/>
            <w:webHidden/>
            <w:color w:val="auto"/>
            <w:sz w:val="20"/>
            <w:szCs w:val="20"/>
            <w:lang w:eastAsia="ru-RU"/>
          </w:rPr>
          <w:fldChar w:fldCharType="end"/>
        </w:r>
      </w:hyperlink>
    </w:p>
    <w:p>
      <w:pPr>
        <w:pStyle w:val="13"/>
        <w:tabs>
          <w:tab w:val="clear" w:pos="9720"/>
          <w:tab w:val="left" w:pos="426"/>
          <w:tab w:val="right" w:leader="dot" w:pos="9639"/>
        </w:tabs>
        <w:spacing w:before="200" w:after="0"/>
        <w:ind w:left="426" w:hanging="426"/>
        <w:rPr>
          <w:rStyle w:val="aa"/>
          <w:rFonts w:eastAsia="Times New Roman" w:cs="Arial"/>
          <w:snapToGrid w:val="0"/>
          <w:color w:val="auto"/>
          <w:sz w:val="20"/>
          <w:szCs w:val="20"/>
        </w:rPr>
      </w:pPr>
      <w:hyperlink w:anchor="_Toc480899117" w:history="1">
        <w:r>
          <w:rPr>
            <w:rStyle w:val="aa"/>
            <w:rFonts w:eastAsia="Times New Roman" w:cs="Arial"/>
            <w:caps w:val="0"/>
            <w:snapToGrid w:val="0"/>
            <w:color w:val="auto"/>
            <w:sz w:val="20"/>
            <w:szCs w:val="20"/>
            <w:lang w:eastAsia="ru-RU"/>
          </w:rPr>
          <w:t>ПРИЛОЖЕНИЯ</w:t>
        </w:r>
        <w:r>
          <w:rPr>
            <w:rStyle w:val="aa"/>
            <w:rFonts w:eastAsia="Times New Roman" w:cs="Arial"/>
            <w:caps w:val="0"/>
            <w:snapToGrid w:val="0"/>
            <w:webHidden/>
            <w:color w:val="auto"/>
            <w:sz w:val="20"/>
            <w:szCs w:val="20"/>
            <w:lang w:eastAsia="ru-RU"/>
          </w:rPr>
          <w:tab/>
        </w:r>
        <w:r>
          <w:rPr>
            <w:rStyle w:val="aa"/>
            <w:rFonts w:eastAsia="Times New Roman" w:cs="Arial"/>
            <w:caps w:val="0"/>
            <w:snapToGrid w:val="0"/>
            <w:webHidden/>
            <w:color w:val="auto"/>
            <w:sz w:val="20"/>
            <w:szCs w:val="20"/>
            <w:lang w:eastAsia="ru-RU"/>
          </w:rPr>
          <w:fldChar w:fldCharType="begin"/>
        </w:r>
        <w:r>
          <w:rPr>
            <w:rStyle w:val="aa"/>
            <w:rFonts w:eastAsia="Times New Roman" w:cs="Arial"/>
            <w:caps w:val="0"/>
            <w:snapToGrid w:val="0"/>
            <w:webHidden/>
            <w:color w:val="auto"/>
            <w:sz w:val="20"/>
            <w:szCs w:val="20"/>
            <w:lang w:eastAsia="ru-RU"/>
          </w:rPr>
          <w:instrText xml:space="preserve"> PAGEREF _Toc480899117 \h </w:instrText>
        </w:r>
        <w:r>
          <w:rPr>
            <w:rStyle w:val="aa"/>
            <w:rFonts w:eastAsia="Times New Roman" w:cs="Arial"/>
            <w:caps w:val="0"/>
            <w:snapToGrid w:val="0"/>
            <w:webHidden/>
            <w:color w:val="auto"/>
            <w:sz w:val="20"/>
            <w:szCs w:val="20"/>
            <w:lang w:eastAsia="ru-RU"/>
          </w:rPr>
        </w:r>
        <w:r>
          <w:rPr>
            <w:rStyle w:val="aa"/>
            <w:rFonts w:eastAsia="Times New Roman" w:cs="Arial"/>
            <w:caps w:val="0"/>
            <w:snapToGrid w:val="0"/>
            <w:webHidden/>
            <w:color w:val="auto"/>
            <w:sz w:val="20"/>
            <w:szCs w:val="20"/>
            <w:lang w:eastAsia="ru-RU"/>
          </w:rPr>
          <w:fldChar w:fldCharType="separate"/>
        </w:r>
        <w:r>
          <w:rPr>
            <w:rStyle w:val="aa"/>
            <w:rFonts w:eastAsia="Times New Roman" w:cs="Arial"/>
            <w:caps w:val="0"/>
            <w:snapToGrid w:val="0"/>
            <w:webHidden/>
            <w:color w:val="auto"/>
            <w:sz w:val="20"/>
            <w:szCs w:val="20"/>
            <w:lang w:eastAsia="ru-RU"/>
          </w:rPr>
          <w:t>46</w:t>
        </w:r>
        <w:r>
          <w:rPr>
            <w:rStyle w:val="aa"/>
            <w:rFonts w:eastAsia="Times New Roman" w:cs="Arial"/>
            <w:caps w:val="0"/>
            <w:snapToGrid w:val="0"/>
            <w:webHidden/>
            <w:color w:val="auto"/>
            <w:sz w:val="20"/>
            <w:szCs w:val="20"/>
            <w:lang w:eastAsia="ru-RU"/>
          </w:rPr>
          <w:fldChar w:fldCharType="end"/>
        </w:r>
      </w:hyperlink>
    </w:p>
    <w:p>
      <w:pPr>
        <w:tabs>
          <w:tab w:val="right" w:leader="dot" w:pos="9639"/>
          <w:tab w:val="right" w:leader="dot" w:pos="9720"/>
        </w:tabs>
        <w:spacing w:before="120"/>
      </w:pPr>
      <w:r>
        <w:rPr>
          <w:rFonts w:ascii="Arial" w:hAnsi="Arial" w:cs="Arial"/>
          <w:sz w:val="20"/>
          <w:szCs w:val="20"/>
          <w:highlight w:val="cyan"/>
        </w:rPr>
        <w:fldChar w:fldCharType="end"/>
      </w:r>
    </w:p>
    <w:p>
      <w:pPr>
        <w:spacing w:before="120"/>
        <w:sectPr>
          <w:headerReference w:type="even" r:id="rId10"/>
          <w:headerReference w:type="default" r:id="rId11"/>
          <w:footerReference w:type="default" r:id="rId12"/>
          <w:headerReference w:type="first" r:id="rId13"/>
          <w:pgSz w:w="11906" w:h="16838" w:code="9"/>
          <w:pgMar w:top="510" w:right="1021" w:bottom="567" w:left="1247" w:header="737" w:footer="680" w:gutter="0"/>
          <w:cols w:space="708"/>
          <w:docGrid w:linePitch="360"/>
        </w:sectPr>
      </w:pPr>
    </w:p>
    <w:p>
      <w:pPr>
        <w:pStyle w:val="10"/>
        <w:keepNext w:val="0"/>
        <w:spacing w:before="0" w:after="0"/>
        <w:rPr>
          <w:caps/>
          <w:kern w:val="0"/>
        </w:rPr>
      </w:pPr>
      <w:bookmarkStart w:id="18" w:name="_Toc480899103"/>
      <w:r>
        <w:rPr>
          <w:kern w:val="0"/>
        </w:rPr>
        <w:lastRenderedPageBreak/>
        <w:t>ВВОДНЫЕ ПОЛОЖЕНИЯ</w:t>
      </w:r>
      <w:bookmarkEnd w:id="18"/>
    </w:p>
    <w:p/>
    <w:p/>
    <w:p>
      <w:pPr>
        <w:pStyle w:val="20"/>
        <w:keepNext w:val="0"/>
        <w:spacing w:before="0" w:after="0"/>
        <w:jc w:val="both"/>
        <w:rPr>
          <w:i w:val="0"/>
          <w:caps/>
          <w:sz w:val="24"/>
        </w:rPr>
      </w:pPr>
      <w:bookmarkStart w:id="19" w:name="_Toc480899104"/>
      <w:r>
        <w:rPr>
          <w:i w:val="0"/>
          <w:caps/>
          <w:sz w:val="24"/>
        </w:rPr>
        <w:t>НАЗНАЧЕНИЕ</w:t>
      </w:r>
      <w:bookmarkEnd w:id="19"/>
    </w:p>
    <w:p/>
    <w:p>
      <w:pPr>
        <w:jc w:val="both"/>
        <w:rPr>
          <w:bCs/>
          <w:szCs w:val="24"/>
          <w:lang w:eastAsia="ru-RU"/>
        </w:rPr>
      </w:pPr>
      <w:r>
        <w:rPr>
          <w:szCs w:val="24"/>
          <w:lang w:eastAsia="ru-RU"/>
        </w:rPr>
        <w:t xml:space="preserve">Настоящие Методические указания разработаны с целью установления единых требований для </w:t>
      </w:r>
      <w:r>
        <w:rPr>
          <w:bCs/>
          <w:szCs w:val="24"/>
          <w:lang w:eastAsia="ru-RU"/>
        </w:rPr>
        <w:t>выполнения телекоммуникационной инфраструктурой заданных функций в любых условиях, в т. ч. при дестабилизирующих воздействиях, в чрезвычайных ситуациях и при террористических актах.</w:t>
      </w:r>
    </w:p>
    <w:p/>
    <w:p>
      <w:pPr>
        <w:rPr>
          <w:szCs w:val="24"/>
          <w:highlight w:val="yellow"/>
        </w:rPr>
      </w:pPr>
      <w:r>
        <w:rPr>
          <w:szCs w:val="24"/>
        </w:rPr>
        <w:t xml:space="preserve">Задачами </w:t>
      </w:r>
      <w:r>
        <w:rPr>
          <w:szCs w:val="24"/>
          <w:lang w:eastAsia="ru-RU"/>
        </w:rPr>
        <w:t xml:space="preserve">Методических указаний </w:t>
      </w:r>
      <w:r>
        <w:rPr>
          <w:szCs w:val="24"/>
        </w:rPr>
        <w:t>являются:</w:t>
      </w:r>
    </w:p>
    <w:p>
      <w:pPr>
        <w:numPr>
          <w:ilvl w:val="0"/>
          <w:numId w:val="2"/>
        </w:numPr>
        <w:tabs>
          <w:tab w:val="num" w:pos="540"/>
        </w:tabs>
        <w:spacing w:before="120"/>
        <w:ind w:left="540"/>
        <w:jc w:val="both"/>
        <w:rPr>
          <w:szCs w:val="24"/>
        </w:rPr>
      </w:pPr>
      <w:r>
        <w:rPr>
          <w:szCs w:val="24"/>
        </w:rPr>
        <w:t>предотвращение причин и условий, способствующих нарушению безопасного и устойчивого функционирования телекоммуникационной инфраструктуры;</w:t>
      </w:r>
    </w:p>
    <w:p>
      <w:pPr>
        <w:numPr>
          <w:ilvl w:val="0"/>
          <w:numId w:val="2"/>
        </w:numPr>
        <w:tabs>
          <w:tab w:val="num" w:pos="540"/>
        </w:tabs>
        <w:spacing w:before="120"/>
        <w:ind w:left="540"/>
        <w:jc w:val="both"/>
        <w:rPr>
          <w:szCs w:val="24"/>
        </w:rPr>
      </w:pPr>
      <w:r>
        <w:rPr>
          <w:szCs w:val="24"/>
        </w:rPr>
        <w:t>совершенствование мер обеспечения безопасности телекоммуникационной инфраструктуры.</w:t>
      </w:r>
    </w:p>
    <w:p/>
    <w:p>
      <w:pPr>
        <w:jc w:val="both"/>
      </w:pPr>
      <w:r>
        <w:rPr>
          <w:szCs w:val="24"/>
          <w:lang w:eastAsia="ru-RU"/>
        </w:rPr>
        <w:t>Настоящие</w:t>
      </w:r>
      <w:r>
        <w:t xml:space="preserve"> Методические указания разработаны в соответствии с Политикой Компании «Концепция информационно-технической безопасности ОАО «НК «Роснефть» № П3-11.01, другими локальными нормативными документами, требованиями законодательства Российской Федерации и нормативными актами.</w:t>
      </w:r>
    </w:p>
    <w:p/>
    <w:p/>
    <w:p>
      <w:pPr>
        <w:pStyle w:val="20"/>
        <w:keepNext w:val="0"/>
        <w:spacing w:before="0" w:after="0"/>
        <w:jc w:val="both"/>
        <w:rPr>
          <w:i w:val="0"/>
          <w:caps/>
          <w:sz w:val="24"/>
          <w:szCs w:val="24"/>
        </w:rPr>
      </w:pPr>
      <w:bookmarkStart w:id="20" w:name="_Toc480899105"/>
      <w:r>
        <w:rPr>
          <w:i w:val="0"/>
          <w:sz w:val="24"/>
          <w:szCs w:val="24"/>
        </w:rPr>
        <w:t>ОБЛАСТЬ ДЕЙСТВИЯ</w:t>
      </w:r>
      <w:bookmarkEnd w:id="20"/>
    </w:p>
    <w:p/>
    <w:p>
      <w:pPr>
        <w:pStyle w:val="S4"/>
      </w:pPr>
      <w:r>
        <w:t>Настоящие Методические указания обязательны для исполнения работниками:</w:t>
      </w:r>
    </w:p>
    <w:p>
      <w:pPr>
        <w:pStyle w:val="S4"/>
        <w:numPr>
          <w:ilvl w:val="0"/>
          <w:numId w:val="6"/>
        </w:numPr>
        <w:tabs>
          <w:tab w:val="left" w:pos="539"/>
        </w:tabs>
        <w:spacing w:before="120"/>
        <w:ind w:left="538" w:hanging="357"/>
      </w:pPr>
      <w:r>
        <w:t>Службы безопасности ПАО «НК «Роснефть»;</w:t>
      </w:r>
    </w:p>
    <w:p>
      <w:pPr>
        <w:pStyle w:val="S4"/>
        <w:numPr>
          <w:ilvl w:val="0"/>
          <w:numId w:val="6"/>
        </w:numPr>
        <w:tabs>
          <w:tab w:val="left" w:pos="539"/>
        </w:tabs>
        <w:spacing w:before="120"/>
        <w:ind w:left="538" w:hanging="357"/>
      </w:pPr>
      <w:r>
        <w:t>Департамента обеспечения деятельности центрального аппарата ПАО «НК «Роснефть»;</w:t>
      </w:r>
    </w:p>
    <w:p>
      <w:pPr>
        <w:pStyle w:val="S4"/>
        <w:widowControl/>
        <w:numPr>
          <w:ilvl w:val="0"/>
          <w:numId w:val="6"/>
        </w:numPr>
        <w:tabs>
          <w:tab w:val="left" w:pos="539"/>
        </w:tabs>
        <w:spacing w:before="120"/>
        <w:ind w:left="538" w:hanging="357"/>
      </w:pPr>
      <w:r>
        <w:t>Департамента информатизации и развития бизнес-процессов ПАО «НК «Роснефть»;</w:t>
      </w:r>
    </w:p>
    <w:p>
      <w:pPr>
        <w:pStyle w:val="S4"/>
        <w:widowControl/>
        <w:numPr>
          <w:ilvl w:val="0"/>
          <w:numId w:val="6"/>
        </w:numPr>
        <w:tabs>
          <w:tab w:val="left" w:pos="539"/>
        </w:tabs>
        <w:spacing w:before="120"/>
        <w:ind w:left="538" w:hanging="357"/>
      </w:pPr>
      <w:r>
        <w:t>дочерних обществ ПАО «НК «Роснефть», в отношении которых Уставами Обществ, акционерными и иными соглашениями с компаниями – партнерами не определен особый порядок реализации акционерами/участниками своих прав, в том числе по управлению Обществом,</w:t>
      </w:r>
    </w:p>
    <w:p>
      <w:pPr>
        <w:spacing w:before="120"/>
        <w:jc w:val="both"/>
        <w:rPr>
          <w:rFonts w:eastAsia="Times New Roman"/>
          <w:szCs w:val="24"/>
          <w:lang w:eastAsia="ru-RU"/>
        </w:rPr>
      </w:pPr>
      <w:r>
        <w:rPr>
          <w:rFonts w:eastAsia="Times New Roman"/>
          <w:szCs w:val="24"/>
          <w:lang w:eastAsia="ru-RU"/>
        </w:rPr>
        <w:t>задействованными в процессе:</w:t>
      </w:r>
    </w:p>
    <w:p>
      <w:pPr>
        <w:pStyle w:val="S4"/>
        <w:widowControl/>
        <w:numPr>
          <w:ilvl w:val="0"/>
          <w:numId w:val="6"/>
        </w:numPr>
        <w:tabs>
          <w:tab w:val="left" w:pos="539"/>
        </w:tabs>
        <w:spacing w:before="120"/>
        <w:ind w:left="538" w:hanging="357"/>
      </w:pPr>
      <w:r>
        <w:t>проектирования, создания и модернизации телекоммуникационной инфраструктуры и инженерных систем;</w:t>
      </w:r>
    </w:p>
    <w:p>
      <w:pPr>
        <w:pStyle w:val="S4"/>
        <w:widowControl/>
        <w:numPr>
          <w:ilvl w:val="0"/>
          <w:numId w:val="6"/>
        </w:numPr>
        <w:tabs>
          <w:tab w:val="left" w:pos="539"/>
        </w:tabs>
        <w:spacing w:before="120"/>
        <w:ind w:left="538" w:hanging="357"/>
      </w:pPr>
      <w:r>
        <w:t>разработки технической документации, оформлении договоров с подрядными (сервисными) организациями.</w:t>
      </w:r>
    </w:p>
    <w:p>
      <w:pPr>
        <w:pStyle w:val="S4"/>
        <w:widowControl/>
        <w:tabs>
          <w:tab w:val="left" w:pos="539"/>
        </w:tabs>
        <w:spacing w:before="120"/>
      </w:pPr>
    </w:p>
    <w:p>
      <w:pPr>
        <w:jc w:val="both"/>
        <w:rPr>
          <w:rFonts w:eastAsia="Times New Roman"/>
          <w:szCs w:val="24"/>
          <w:lang w:eastAsia="ru-RU"/>
        </w:rPr>
      </w:pPr>
      <w:r>
        <w:rPr>
          <w:szCs w:val="24"/>
        </w:rPr>
        <w:t>Методические указания</w:t>
      </w:r>
      <w:r>
        <w:rPr>
          <w:rFonts w:eastAsia="Times New Roman"/>
          <w:szCs w:val="24"/>
          <w:lang w:eastAsia="ru-RU"/>
        </w:rPr>
        <w:t xml:space="preserve"> носят рекомендательный характер для исполнения работниками </w:t>
      </w:r>
      <w:r>
        <w:t>иных Обществ Группы не являющихся дочерними обществами ПАО «НК «Роснефть».</w:t>
      </w:r>
    </w:p>
    <w:p>
      <w:pPr>
        <w:jc w:val="both"/>
        <w:rPr>
          <w:rFonts w:eastAsia="Times New Roman"/>
          <w:szCs w:val="24"/>
          <w:lang w:eastAsia="ru-RU"/>
        </w:rPr>
      </w:pPr>
    </w:p>
    <w:p>
      <w:pPr>
        <w:pStyle w:val="S4"/>
        <w:widowControl/>
      </w:pPr>
      <w:r>
        <w:t>Требования Методических указаний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с учетом специфики условий договоров или соглашений о совместной деятельности и в установленном в Обществе Группы порядке.</w:t>
      </w:r>
    </w:p>
    <w:p>
      <w:pPr>
        <w:pStyle w:val="S4"/>
        <w:widowControl/>
      </w:pPr>
    </w:p>
    <w:p>
      <w:pPr>
        <w:pStyle w:val="S4"/>
        <w:widowControl/>
      </w:pPr>
      <w:r>
        <w:lastRenderedPageBreak/>
        <w:t>Распорядительные, локальные нормативные и иные внутренние документы не должны противоречить настоящим Методическим указаниям.</w:t>
      </w:r>
    </w:p>
    <w:p>
      <w:pPr>
        <w:jc w:val="both"/>
        <w:rPr>
          <w:rFonts w:eastAsia="Times New Roman"/>
          <w:szCs w:val="24"/>
          <w:lang w:eastAsia="ru-RU"/>
        </w:rPr>
      </w:pPr>
    </w:p>
    <w:p>
      <w:pPr>
        <w:pStyle w:val="S4"/>
        <w:widowControl/>
      </w:pPr>
      <w:r>
        <w:t>Структурные подразделения ПАО «НК «Роснефть» и Общества Группы при оформлении договоров с подрядными (сервисными) организациями, оказывающими услуги в области разработки технической документации на телекоммуникационную инфраструктуру, по разработке и вводу в эксплуатацию объектов телекоммуникационной инфраструктуры, сопровождению инженерных систем телекоммуникационной инфраструктуры обязаны включать в договоры пункт о неукоснительном выполнении указанными подрядными (сервисными) организациями требований, установленных настоящими Методическими указаниями.</w:t>
      </w:r>
    </w:p>
    <w:p/>
    <w:p>
      <w:pPr>
        <w:jc w:val="both"/>
      </w:pPr>
      <w:r>
        <w:t>Методические указания не охватывают область, связанную с использованием и организацией защиты сведений, составляющих государственную тайну.</w:t>
      </w:r>
    </w:p>
    <w:p/>
    <w:p/>
    <w:p>
      <w:pPr>
        <w:pStyle w:val="20"/>
        <w:keepNext w:val="0"/>
        <w:spacing w:before="0" w:after="0"/>
        <w:jc w:val="both"/>
        <w:rPr>
          <w:i w:val="0"/>
          <w:caps/>
          <w:sz w:val="24"/>
          <w:szCs w:val="24"/>
        </w:rPr>
      </w:pPr>
      <w:bookmarkStart w:id="21" w:name="_Toc480899106"/>
      <w:r>
        <w:rPr>
          <w:i w:val="0"/>
          <w:sz w:val="24"/>
          <w:szCs w:val="24"/>
        </w:rPr>
        <w:t>ПЕРИОД ДЕЙСТВИЯ И ПОРЯДОК ВНЕСЕНИЯ ИЗМЕНЕНИЙ</w:t>
      </w:r>
      <w:bookmarkEnd w:id="21"/>
    </w:p>
    <w:p/>
    <w:p>
      <w:pPr>
        <w:jc w:val="both"/>
        <w:rPr>
          <w:szCs w:val="24"/>
        </w:rPr>
      </w:pPr>
      <w:r>
        <w:rPr>
          <w:szCs w:val="24"/>
        </w:rPr>
        <w:t xml:space="preserve">Настоящие Методические указания являются </w:t>
      </w:r>
      <w:r>
        <w:t>локальным нормативным документом</w:t>
      </w:r>
      <w:r>
        <w:rPr>
          <w:szCs w:val="24"/>
        </w:rPr>
        <w:t xml:space="preserve"> постоянного действия.</w:t>
      </w:r>
    </w:p>
    <w:p>
      <w:pPr>
        <w:jc w:val="both"/>
        <w:rPr>
          <w:szCs w:val="24"/>
        </w:rPr>
      </w:pPr>
    </w:p>
    <w:p>
      <w:pPr>
        <w:pStyle w:val="S4"/>
      </w:pPr>
      <w:r>
        <w:t>Методические указания утверждаются, вводятся в действие, изменяются и признаются утратившим силу в ПАО «НК «Роснефть» на основании приказа ПАО «НК «Роснефть».</w:t>
      </w:r>
    </w:p>
    <w:p>
      <w:pPr>
        <w:jc w:val="both"/>
        <w:rPr>
          <w:szCs w:val="24"/>
        </w:rPr>
      </w:pPr>
    </w:p>
    <w:p>
      <w:pPr>
        <w:jc w:val="both"/>
        <w:rPr>
          <w:szCs w:val="24"/>
        </w:rPr>
      </w:pPr>
      <w:r>
        <w:rPr>
          <w:szCs w:val="24"/>
        </w:rPr>
        <w:t xml:space="preserve">Инициаторами внесения изменений в Методические указания являются Служба безопасности </w:t>
      </w:r>
      <w:r>
        <w:t>ПАО «НК «Роснефть»</w:t>
      </w:r>
      <w:r>
        <w:rPr>
          <w:szCs w:val="24"/>
        </w:rPr>
        <w:t xml:space="preserve">, а также иные </w:t>
      </w:r>
      <w:r>
        <w:t xml:space="preserve">структурные подразделения ПАО «НК «Роснефть» и </w:t>
      </w:r>
      <w:r>
        <w:rPr>
          <w:szCs w:val="24"/>
        </w:rPr>
        <w:t>Общества Группы по согласованию со Службой безопасности</w:t>
      </w:r>
      <w:r>
        <w:t xml:space="preserve"> ПАО «НК «Роснефть»</w:t>
      </w:r>
      <w:r>
        <w:rPr>
          <w:szCs w:val="24"/>
        </w:rPr>
        <w:t>.</w:t>
      </w:r>
    </w:p>
    <w:p>
      <w:pPr>
        <w:jc w:val="both"/>
        <w:rPr>
          <w:szCs w:val="24"/>
        </w:rPr>
      </w:pPr>
    </w:p>
    <w:p>
      <w:pPr>
        <w:jc w:val="both"/>
        <w:rPr>
          <w:szCs w:val="24"/>
        </w:rPr>
      </w:pPr>
      <w:r>
        <w:t xml:space="preserve">Актуализация </w:t>
      </w:r>
      <w:r>
        <w:rPr>
          <w:szCs w:val="24"/>
        </w:rPr>
        <w:t>Методических указаний осуществляется не реже чем 1 раз в 2 года.</w:t>
      </w:r>
    </w:p>
    <w:p>
      <w:pPr>
        <w:jc w:val="both"/>
        <w:rPr>
          <w:szCs w:val="24"/>
        </w:rPr>
      </w:pPr>
    </w:p>
    <w:p>
      <w:pPr>
        <w:jc w:val="both"/>
        <w:rPr>
          <w:szCs w:val="24"/>
        </w:rPr>
      </w:pPr>
      <w:r>
        <w:t xml:space="preserve">Изменения в Методические указания вносятся </w:t>
      </w:r>
      <w:r>
        <w:rPr>
          <w:szCs w:val="24"/>
        </w:rPr>
        <w:t>в случаях:</w:t>
      </w:r>
    </w:p>
    <w:p>
      <w:pPr>
        <w:numPr>
          <w:ilvl w:val="0"/>
          <w:numId w:val="2"/>
        </w:numPr>
        <w:tabs>
          <w:tab w:val="num" w:pos="540"/>
        </w:tabs>
        <w:spacing w:before="120"/>
        <w:ind w:left="538" w:hanging="357"/>
        <w:jc w:val="both"/>
        <w:rPr>
          <w:szCs w:val="24"/>
        </w:rPr>
      </w:pPr>
      <w:r>
        <w:rPr>
          <w:szCs w:val="24"/>
        </w:rPr>
        <w:t>изменений нормативно-правовой базы по связи, информационным технологиям и информационной безопасности;</w:t>
      </w:r>
    </w:p>
    <w:p>
      <w:pPr>
        <w:numPr>
          <w:ilvl w:val="0"/>
          <w:numId w:val="2"/>
        </w:numPr>
        <w:tabs>
          <w:tab w:val="num" w:pos="540"/>
        </w:tabs>
        <w:spacing w:before="120"/>
        <w:ind w:left="538" w:hanging="357"/>
        <w:jc w:val="both"/>
        <w:rPr>
          <w:szCs w:val="24"/>
        </w:rPr>
      </w:pPr>
      <w:r>
        <w:rPr>
          <w:szCs w:val="24"/>
        </w:rPr>
        <w:t>наличия актуальной потребности в совершенствовании системы управления информационной безопасности и инженерно-технической защиты объектов Компании;</w:t>
      </w:r>
    </w:p>
    <w:p>
      <w:pPr>
        <w:numPr>
          <w:ilvl w:val="0"/>
          <w:numId w:val="2"/>
        </w:numPr>
        <w:tabs>
          <w:tab w:val="num" w:pos="540"/>
        </w:tabs>
        <w:spacing w:before="120"/>
        <w:ind w:left="538" w:hanging="357"/>
        <w:jc w:val="both"/>
        <w:rPr>
          <w:szCs w:val="24"/>
        </w:rPr>
      </w:pPr>
      <w:r>
        <w:rPr>
          <w:szCs w:val="24"/>
        </w:rPr>
        <w:t>изменений организационно-штатной структуры или структуры бизнеса Компании или полномочий руководителей и т. п.</w:t>
      </w:r>
    </w:p>
    <w:p>
      <w:pPr>
        <w:pStyle w:val="S4"/>
      </w:pPr>
    </w:p>
    <w:p>
      <w:pPr>
        <w:pStyle w:val="S4"/>
      </w:pPr>
    </w:p>
    <w:p>
      <w:pPr>
        <w:spacing w:before="120"/>
        <w:jc w:val="both"/>
        <w:sectPr>
          <w:headerReference w:type="even" r:id="rId14"/>
          <w:headerReference w:type="default" r:id="rId15"/>
          <w:footerReference w:type="default" r:id="rId16"/>
          <w:headerReference w:type="first" r:id="rId17"/>
          <w:pgSz w:w="11906" w:h="16838" w:code="9"/>
          <w:pgMar w:top="510" w:right="1021" w:bottom="567" w:left="1247" w:header="737" w:footer="680" w:gutter="0"/>
          <w:cols w:space="708"/>
          <w:docGrid w:linePitch="360"/>
        </w:sectPr>
      </w:pPr>
    </w:p>
    <w:p>
      <w:pPr>
        <w:pStyle w:val="S1"/>
        <w:tabs>
          <w:tab w:val="left" w:pos="567"/>
        </w:tabs>
        <w:ind w:left="0" w:firstLine="0"/>
        <w:jc w:val="left"/>
      </w:pPr>
      <w:bookmarkStart w:id="22" w:name="_Toc149979454"/>
      <w:bookmarkStart w:id="23" w:name="_Toc149981755"/>
      <w:bookmarkStart w:id="24" w:name="_Toc149983143"/>
      <w:bookmarkStart w:id="25" w:name="_Toc150914942"/>
      <w:bookmarkStart w:id="26" w:name="_Toc156727019"/>
      <w:bookmarkStart w:id="27" w:name="_Toc164238418"/>
      <w:bookmarkStart w:id="28" w:name="_Toc480899107"/>
      <w:r>
        <w:rPr>
          <w:caps w:val="0"/>
        </w:rPr>
        <w:lastRenderedPageBreak/>
        <w:t>ТЕРМИНЫ И ОПРЕДЕЛЕНИЯ</w:t>
      </w:r>
      <w:bookmarkEnd w:id="22"/>
      <w:bookmarkEnd w:id="23"/>
      <w:bookmarkEnd w:id="24"/>
      <w:bookmarkEnd w:id="25"/>
      <w:bookmarkEnd w:id="26"/>
      <w:bookmarkEnd w:id="27"/>
      <w:bookmarkEnd w:id="28"/>
    </w:p>
    <w:p>
      <w:bookmarkStart w:id="29" w:name="_Toc198548340"/>
      <w:bookmarkStart w:id="30" w:name="_Toc200945987"/>
      <w:bookmarkStart w:id="31" w:name="_Toc205363297"/>
      <w:bookmarkStart w:id="32" w:name="_Toc205890283"/>
      <w:bookmarkStart w:id="33" w:name="_Toc209009280"/>
      <w:bookmarkStart w:id="34" w:name="_Toc210191214"/>
      <w:bookmarkStart w:id="35" w:name="_Toc212018291"/>
      <w:bookmarkStart w:id="36" w:name="_Toc212885578"/>
      <w:bookmarkStart w:id="37" w:name="_Toc256007195"/>
      <w:bookmarkStart w:id="38" w:name="_Toc296354249"/>
      <w:bookmarkStart w:id="39" w:name="_Toc314841215"/>
      <w:bookmarkStart w:id="40" w:name="_Toc324930616"/>
      <w:bookmarkStart w:id="41" w:name="_Toc326675257"/>
      <w:bookmarkStart w:id="42" w:name="_Toc326675493"/>
    </w:p>
    <w:p/>
    <w:p>
      <w:pPr>
        <w:pStyle w:val="S4"/>
        <w:rPr>
          <w:rFonts w:ascii="Arial" w:hAnsi="Arial" w:cs="Arial"/>
          <w:b/>
          <w:i/>
        </w:rPr>
      </w:pPr>
      <w:r>
        <w:rPr>
          <w:rFonts w:ascii="Arial" w:hAnsi="Arial" w:cs="Arial"/>
          <w:b/>
        </w:rPr>
        <w:t>ТЕРМИНЫ И ОПРЕДЕЛЕНИЯ КОРПОРАТИВНОГО ГЛОССАРИЯ</w:t>
      </w:r>
      <w:bookmarkEnd w:id="29"/>
      <w:bookmarkEnd w:id="30"/>
      <w:bookmarkEnd w:id="31"/>
      <w:bookmarkEnd w:id="32"/>
      <w:bookmarkEnd w:id="33"/>
      <w:bookmarkEnd w:id="34"/>
      <w:bookmarkEnd w:id="35"/>
      <w:bookmarkEnd w:id="36"/>
      <w:bookmarkEnd w:id="37"/>
      <w:bookmarkEnd w:id="38"/>
      <w:bookmarkEnd w:id="39"/>
      <w:bookmarkEnd w:id="40"/>
      <w:bookmarkEnd w:id="41"/>
      <w:bookmarkEnd w:id="42"/>
    </w:p>
    <w:p>
      <w:pPr>
        <w:rPr>
          <w:lang w:eastAsia="ru-RU"/>
        </w:rPr>
      </w:pPr>
    </w:p>
    <w:p>
      <w:pPr>
        <w:pStyle w:val="affb"/>
        <w:spacing w:before="0"/>
        <w:rPr>
          <w:rFonts w:ascii="Times New Roman" w:hAnsi="Times New Roman"/>
          <w:szCs w:val="22"/>
          <w:lang w:eastAsia="en-US"/>
        </w:rPr>
      </w:pPr>
      <w:r>
        <w:rPr>
          <w:rFonts w:ascii="Arial" w:hAnsi="Arial" w:cs="Arial"/>
          <w:b/>
          <w:i/>
          <w:caps/>
          <w:sz w:val="20"/>
        </w:rPr>
        <w:t>АУТЕНТИФИКАЦИЯ</w:t>
      </w:r>
      <w:r>
        <w:rPr>
          <w:rFonts w:ascii="Times New Roman" w:hAnsi="Times New Roman"/>
          <w:szCs w:val="24"/>
        </w:rPr>
        <w:t xml:space="preserve"> </w:t>
      </w:r>
      <w:r>
        <w:rPr>
          <w:rFonts w:ascii="Times New Roman" w:hAnsi="Times New Roman"/>
        </w:rPr>
        <w:t>–</w:t>
      </w:r>
      <w:r>
        <w:rPr>
          <w:rStyle w:val="afe"/>
          <w:rFonts w:ascii="Times New Roman" w:hAnsi="Times New Roman"/>
          <w:b w:val="0"/>
          <w:bCs/>
          <w:color w:val="auto"/>
          <w:szCs w:val="24"/>
        </w:rPr>
        <w:t xml:space="preserve"> </w:t>
      </w:r>
      <w:r>
        <w:rPr>
          <w:rFonts w:ascii="Times New Roman" w:hAnsi="Times New Roman"/>
          <w:szCs w:val="22"/>
          <w:lang w:eastAsia="en-US"/>
        </w:rPr>
        <w:t>проверка принадлежности субъекту доступа предъявленного им идентификатора (подтверждение подлинности).</w:t>
      </w:r>
    </w:p>
    <w:p/>
    <w:p>
      <w:pPr>
        <w:jc w:val="both"/>
        <w:rPr>
          <w:szCs w:val="24"/>
        </w:rPr>
      </w:pPr>
      <w:r>
        <w:rPr>
          <w:rFonts w:ascii="Arial" w:hAnsi="Arial" w:cs="Arial"/>
          <w:b/>
          <w:i/>
          <w:caps/>
          <w:sz w:val="20"/>
          <w:szCs w:val="20"/>
          <w:lang w:eastAsia="ru-RU"/>
        </w:rPr>
        <w:t>ДОКУМентация</w:t>
      </w:r>
      <w:r>
        <w:rPr>
          <w:szCs w:val="24"/>
        </w:rPr>
        <w:t xml:space="preserve"> </w:t>
      </w:r>
      <w:r>
        <w:t>–</w:t>
      </w:r>
      <w:r>
        <w:rPr>
          <w:rStyle w:val="afe"/>
          <w:b w:val="0"/>
          <w:bCs/>
          <w:color w:val="auto"/>
          <w:szCs w:val="24"/>
        </w:rPr>
        <w:t xml:space="preserve"> </w:t>
      </w:r>
      <w:r>
        <w:rPr>
          <w:szCs w:val="24"/>
        </w:rPr>
        <w:t>совокупность документов, посвящённых какому-либо вопросу, явлению, процессу, лицу, организации и т. п.</w:t>
      </w:r>
    </w:p>
    <w:p>
      <w:pPr>
        <w:jc w:val="both"/>
        <w:rPr>
          <w:szCs w:val="24"/>
        </w:rPr>
      </w:pPr>
    </w:p>
    <w:p>
      <w:pPr>
        <w:jc w:val="both"/>
        <w:rPr>
          <w:szCs w:val="24"/>
        </w:rPr>
      </w:pPr>
      <w:r>
        <w:rPr>
          <w:rFonts w:ascii="Arial" w:hAnsi="Arial" w:cs="Arial"/>
          <w:b/>
          <w:i/>
          <w:caps/>
          <w:sz w:val="20"/>
          <w:szCs w:val="20"/>
          <w:lang w:eastAsia="ru-RU"/>
        </w:rPr>
        <w:t>ДОСТУП</w:t>
      </w:r>
      <w:r>
        <w:rPr>
          <w:szCs w:val="24"/>
        </w:rPr>
        <w:t xml:space="preserve"> </w:t>
      </w:r>
      <w:r>
        <w:t xml:space="preserve">– </w:t>
      </w:r>
      <w:r>
        <w:rPr>
          <w:rFonts w:eastAsia="Times New Roman"/>
          <w:szCs w:val="24"/>
          <w:lang w:eastAsia="ru-RU"/>
        </w:rPr>
        <w:t>санкционированный проход (проезд) работников, посетителей, транспортных средств на территорию охраняемого объекта.</w:t>
      </w:r>
    </w:p>
    <w:p>
      <w:pPr>
        <w:jc w:val="both"/>
        <w:rPr>
          <w:szCs w:val="24"/>
        </w:rPr>
      </w:pPr>
    </w:p>
    <w:p>
      <w:pPr>
        <w:jc w:val="both"/>
        <w:rPr>
          <w:szCs w:val="24"/>
        </w:rPr>
      </w:pPr>
      <w:r>
        <w:rPr>
          <w:rFonts w:ascii="Arial" w:hAnsi="Arial" w:cs="Arial"/>
          <w:b/>
          <w:i/>
          <w:caps/>
          <w:sz w:val="20"/>
          <w:szCs w:val="20"/>
          <w:lang w:eastAsia="ru-RU"/>
        </w:rPr>
        <w:t>Информационная система</w:t>
      </w:r>
      <w:r>
        <w:rPr>
          <w:szCs w:val="24"/>
        </w:rPr>
        <w:t xml:space="preserve"> </w:t>
      </w:r>
      <w:r>
        <w:t>–</w:t>
      </w:r>
      <w:r>
        <w:rPr>
          <w:rStyle w:val="afe"/>
          <w:b w:val="0"/>
          <w:bCs/>
          <w:color w:val="auto"/>
          <w:szCs w:val="24"/>
        </w:rPr>
        <w:t xml:space="preserve"> </w:t>
      </w:r>
      <w:r>
        <w:rPr>
          <w:szCs w:val="24"/>
        </w:rPr>
        <w:t>совокупность содержащейся в базах данных информации и обеспечивающих ее обработку информационных технологий и технических средств [Федеральный закон от 27.07.2006 № 149-ФЗ «Об информации, информационных технологиях и о защите информации»].</w:t>
      </w:r>
    </w:p>
    <w:p>
      <w:pPr>
        <w:jc w:val="both"/>
      </w:pPr>
    </w:p>
    <w:p>
      <w:pPr>
        <w:jc w:val="both"/>
        <w:rPr>
          <w:szCs w:val="24"/>
        </w:rPr>
      </w:pPr>
      <w:r>
        <w:rPr>
          <w:rFonts w:ascii="Arial" w:hAnsi="Arial" w:cs="Arial"/>
          <w:b/>
          <w:i/>
          <w:caps/>
          <w:sz w:val="20"/>
          <w:szCs w:val="20"/>
          <w:lang w:eastAsia="ru-RU"/>
        </w:rPr>
        <w:t>ИНФОРМАЦИОННЫЕ ТЕХНОЛОГИИ</w:t>
      </w:r>
      <w:r>
        <w:rPr>
          <w:rFonts w:ascii="Arial" w:hAnsi="Arial" w:cs="Arial"/>
          <w:caps/>
          <w:sz w:val="20"/>
          <w:szCs w:val="20"/>
          <w:lang w:eastAsia="ru-RU"/>
        </w:rPr>
        <w:t xml:space="preserve"> </w:t>
      </w:r>
      <w:r>
        <w:t xml:space="preserve">– </w:t>
      </w:r>
      <w:r>
        <w:rPr>
          <w:szCs w:val="24"/>
        </w:rPr>
        <w:t>совокупность процессов, методов поиска, сбора, хранения, обработки, представления и распространения информации, а также способы осуществления таких процессов и методов на базе информационно-коммуникационных технологий и технических средств (включая средства производственной автоматизации, метрологии и контроля качества сырья и продукции) в целях обеспечения и поддержки деятельности Компании.</w:t>
      </w:r>
    </w:p>
    <w:p>
      <w:pPr>
        <w:jc w:val="both"/>
        <w:rPr>
          <w:szCs w:val="24"/>
        </w:rPr>
      </w:pPr>
    </w:p>
    <w:p>
      <w:pPr>
        <w:jc w:val="both"/>
        <w:rPr>
          <w:szCs w:val="24"/>
        </w:rPr>
      </w:pPr>
      <w:r>
        <w:rPr>
          <w:rFonts w:ascii="Arial" w:hAnsi="Arial" w:cs="Arial"/>
          <w:b/>
          <w:i/>
          <w:caps/>
          <w:sz w:val="20"/>
          <w:szCs w:val="20"/>
          <w:lang w:eastAsia="ru-RU"/>
        </w:rPr>
        <w:t>ИСПОЛНИТЕЛЬНАЯ ДОКУМЕНТАЦИЯ</w:t>
      </w:r>
      <w:r>
        <w:rPr>
          <w:rFonts w:ascii="Arial" w:hAnsi="Arial" w:cs="Arial"/>
          <w:caps/>
          <w:sz w:val="20"/>
          <w:szCs w:val="20"/>
          <w:lang w:eastAsia="ru-RU"/>
        </w:rPr>
        <w:t xml:space="preserve"> </w:t>
      </w:r>
      <w:r>
        <w:t xml:space="preserve">– </w:t>
      </w:r>
      <w:r>
        <w:rPr>
          <w:szCs w:val="24"/>
        </w:rPr>
        <w:t>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технического перевооружения, капитального ремонта объектов капитального строительства по мере завершения определенных в проектной документации работ.</w:t>
      </w:r>
    </w:p>
    <w:p>
      <w:pPr>
        <w:jc w:val="both"/>
        <w:rPr>
          <w:szCs w:val="24"/>
        </w:rPr>
      </w:pPr>
    </w:p>
    <w:p>
      <w:pPr>
        <w:jc w:val="both"/>
        <w:rPr>
          <w:szCs w:val="24"/>
        </w:rPr>
      </w:pPr>
      <w:r>
        <w:rPr>
          <w:rFonts w:ascii="Arial" w:hAnsi="Arial" w:cs="Arial"/>
          <w:b/>
          <w:i/>
          <w:caps/>
          <w:sz w:val="20"/>
          <w:szCs w:val="20"/>
          <w:lang w:eastAsia="ru-RU"/>
        </w:rPr>
        <w:t xml:space="preserve">ЛОКАЛЬНАЯ ВЫЧИСЛИТЕЛЬНАЯ СЕТЬ </w:t>
      </w:r>
      <w:r>
        <w:t xml:space="preserve">– </w:t>
      </w:r>
      <w:r>
        <w:rPr>
          <w:rFonts w:eastAsia="Times New Roman"/>
          <w:szCs w:val="24"/>
          <w:lang w:eastAsia="ru-RU"/>
        </w:rPr>
        <w:t>группа электронно-вычислительных машин, а также периферийное оборудование, объединенные одним или несколькими автономными высокоскоростными каналами передачи цифровых данных в пределах одного или нескольких близлежащих зданий.</w:t>
      </w:r>
    </w:p>
    <w:p>
      <w:pPr>
        <w:jc w:val="both"/>
        <w:rPr>
          <w:szCs w:val="24"/>
        </w:rPr>
      </w:pPr>
    </w:p>
    <w:p>
      <w:pPr>
        <w:autoSpaceDE w:val="0"/>
        <w:autoSpaceDN w:val="0"/>
        <w:adjustRightInd w:val="0"/>
        <w:jc w:val="both"/>
        <w:rPr>
          <w:szCs w:val="28"/>
        </w:rPr>
      </w:pPr>
      <w:r>
        <w:rPr>
          <w:rFonts w:ascii="Arial" w:hAnsi="Arial" w:cs="Arial"/>
          <w:b/>
          <w:i/>
          <w:caps/>
          <w:sz w:val="20"/>
          <w:szCs w:val="20"/>
          <w:lang w:eastAsia="ru-RU"/>
        </w:rPr>
        <w:t>оператор связи</w:t>
      </w:r>
      <w:r>
        <w:rPr>
          <w:rFonts w:ascii="Arial" w:hAnsi="Arial" w:cs="Arial"/>
          <w:szCs w:val="24"/>
          <w:lang w:eastAsia="ru-RU"/>
        </w:rPr>
        <w:t xml:space="preserve"> </w:t>
      </w:r>
      <w:r>
        <w:rPr>
          <w:szCs w:val="24"/>
        </w:rPr>
        <w:t xml:space="preserve">– юридическое лицо или индивидуальный предприниматель, оказывающие услуги связи на </w:t>
      </w:r>
      <w:r>
        <w:rPr>
          <w:szCs w:val="28"/>
        </w:rPr>
        <w:t>основании соответствующей лицензии [Федеральный закон от 07.07.2003 № 126-ФЗ «О связи»].</w:t>
      </w:r>
    </w:p>
    <w:p>
      <w:pPr>
        <w:jc w:val="both"/>
        <w:rPr>
          <w:szCs w:val="24"/>
        </w:rPr>
      </w:pPr>
    </w:p>
    <w:p>
      <w:pPr>
        <w:jc w:val="both"/>
        <w:rPr>
          <w:szCs w:val="24"/>
        </w:rPr>
      </w:pPr>
      <w:r>
        <w:rPr>
          <w:rFonts w:ascii="Arial" w:hAnsi="Arial" w:cs="Arial"/>
          <w:b/>
          <w:i/>
          <w:caps/>
          <w:sz w:val="20"/>
          <w:szCs w:val="20"/>
          <w:lang w:eastAsia="ru-RU"/>
        </w:rPr>
        <w:t xml:space="preserve">Подрядная (сервисная) организация </w:t>
      </w:r>
      <w:r>
        <w:t>– физическое или юридическое лицо, которое выполняет работы по договору подряда, заключаемому с заказчиками работ и услуг.</w:t>
      </w:r>
    </w:p>
    <w:p>
      <w:pPr>
        <w:jc w:val="both"/>
        <w:rPr>
          <w:szCs w:val="24"/>
        </w:rPr>
      </w:pPr>
    </w:p>
    <w:p>
      <w:pPr>
        <w:jc w:val="both"/>
      </w:pPr>
      <w:r>
        <w:rPr>
          <w:rFonts w:ascii="Arial" w:hAnsi="Arial" w:cs="Arial"/>
          <w:b/>
          <w:bCs/>
          <w:i/>
          <w:caps/>
          <w:sz w:val="20"/>
          <w:szCs w:val="20"/>
          <w:lang w:eastAsia="ru-RU"/>
        </w:rPr>
        <w:t>сеть связи</w:t>
      </w:r>
      <w:r>
        <w:t xml:space="preserve"> </w:t>
      </w:r>
      <w:r>
        <w:rPr>
          <w:szCs w:val="24"/>
        </w:rPr>
        <w:t xml:space="preserve">– </w:t>
      </w:r>
      <w:r>
        <w:t>технологическая система, включающая в себя средства и линии связи и предназначенная для электросвязи или почтовой связи [Федеральный закон от 07.07.2003 № 126-ФЗ «О связи»].</w:t>
      </w:r>
    </w:p>
    <w:p>
      <w:pPr>
        <w:jc w:val="both"/>
      </w:pPr>
    </w:p>
    <w:p>
      <w:pPr>
        <w:jc w:val="both"/>
        <w:rPr>
          <w:szCs w:val="24"/>
        </w:rPr>
      </w:pPr>
      <w:r>
        <w:rPr>
          <w:rFonts w:ascii="Arial" w:hAnsi="Arial" w:cs="Arial"/>
          <w:b/>
          <w:i/>
          <w:caps/>
          <w:sz w:val="20"/>
          <w:szCs w:val="20"/>
          <w:lang w:eastAsia="ru-RU"/>
        </w:rPr>
        <w:t>система контроля и управления доступом</w:t>
      </w:r>
      <w:r>
        <w:rPr>
          <w:rStyle w:val="urtxtstd"/>
        </w:rPr>
        <w:t xml:space="preserve"> </w:t>
      </w:r>
      <w:r>
        <w:t>–</w:t>
      </w:r>
      <w:r>
        <w:rPr>
          <w:rStyle w:val="afe"/>
          <w:b w:val="0"/>
          <w:bCs/>
          <w:color w:val="auto"/>
          <w:szCs w:val="24"/>
        </w:rPr>
        <w:t xml:space="preserve"> </w:t>
      </w:r>
      <w:r>
        <w:rPr>
          <w:szCs w:val="24"/>
        </w:rPr>
        <w:t xml:space="preserve">совокупность совместно действующих технических средств (контроля и управления), предназначенных для контроля и управления </w:t>
      </w:r>
      <w:r>
        <w:rPr>
          <w:szCs w:val="24"/>
        </w:rPr>
        <w:lastRenderedPageBreak/>
        <w:t>доступом, обладающих технической, информационной, программной и эксплуатационной совместимостью.</w:t>
      </w:r>
    </w:p>
    <w:p>
      <w:pPr>
        <w:jc w:val="both"/>
        <w:rPr>
          <w:szCs w:val="24"/>
        </w:rPr>
      </w:pPr>
    </w:p>
    <w:p>
      <w:pPr>
        <w:jc w:val="both"/>
        <w:rPr>
          <w:i/>
          <w:szCs w:val="24"/>
        </w:rPr>
      </w:pPr>
      <w:r>
        <w:rPr>
          <w:rFonts w:ascii="Arial" w:hAnsi="Arial" w:cs="Arial"/>
          <w:b/>
          <w:i/>
          <w:caps/>
          <w:sz w:val="20"/>
          <w:szCs w:val="20"/>
          <w:lang w:eastAsia="ru-RU"/>
        </w:rPr>
        <w:t>средства связи</w:t>
      </w:r>
      <w:r>
        <w:rPr>
          <w:rFonts w:ascii="Arial" w:hAnsi="Arial" w:cs="Arial"/>
          <w:szCs w:val="24"/>
          <w:lang w:eastAsia="ru-RU"/>
        </w:rPr>
        <w:t xml:space="preserve"> </w:t>
      </w:r>
      <w:r>
        <w:rPr>
          <w:szCs w:val="24"/>
        </w:rPr>
        <w:t xml:space="preserve">– </w:t>
      </w:r>
      <w:r>
        <w:t>технические и программные средства, используемые для формирования, приема, обработки, хранения, передачи,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r>
        <w:rPr>
          <w:szCs w:val="24"/>
        </w:rPr>
        <w:t xml:space="preserve"> </w:t>
      </w:r>
      <w:r>
        <w:t>[Федеральный закон от 07.07.2003 № 126-ФЗ «О связи»].</w:t>
      </w:r>
    </w:p>
    <w:p>
      <w:pPr>
        <w:jc w:val="both"/>
        <w:rPr>
          <w:szCs w:val="24"/>
        </w:rPr>
      </w:pPr>
    </w:p>
    <w:p>
      <w:pPr>
        <w:jc w:val="both"/>
        <w:rPr>
          <w:szCs w:val="24"/>
        </w:rPr>
      </w:pPr>
      <w:r>
        <w:rPr>
          <w:rFonts w:ascii="Arial" w:hAnsi="Arial" w:cs="Arial"/>
          <w:b/>
          <w:i/>
          <w:caps/>
          <w:sz w:val="20"/>
          <w:szCs w:val="20"/>
          <w:lang w:eastAsia="ru-RU"/>
        </w:rPr>
        <w:t>Телекоммуникационная инфраструктура</w:t>
      </w:r>
      <w:r>
        <w:rPr>
          <w:rFonts w:ascii="Arial" w:hAnsi="Arial" w:cs="Arial"/>
          <w:b/>
          <w:bCs/>
          <w:i/>
          <w:caps/>
          <w:sz w:val="20"/>
          <w:szCs w:val="20"/>
          <w:lang w:eastAsia="ru-RU"/>
        </w:rPr>
        <w:t xml:space="preserve"> (Инфраструктура связи</w:t>
      </w:r>
      <w:r>
        <w:rPr>
          <w:rFonts w:ascii="Arial" w:hAnsi="Arial" w:cs="Arial"/>
          <w:b/>
          <w:i/>
          <w:caps/>
          <w:sz w:val="20"/>
          <w:szCs w:val="20"/>
          <w:lang w:eastAsia="ru-RU"/>
        </w:rPr>
        <w:t>)</w:t>
      </w:r>
      <w:r>
        <w:rPr>
          <w:bCs/>
          <w:color w:val="000000"/>
          <w:szCs w:val="24"/>
          <w:lang w:eastAsia="ru-RU"/>
        </w:rPr>
        <w:t xml:space="preserve"> </w:t>
      </w:r>
      <w:r>
        <w:rPr>
          <w:szCs w:val="24"/>
        </w:rPr>
        <w:t>– совокупность взаимосвязанных объектов (помещений, сооружений, сетей, систем, оборудования, силовых и телекоммуникационных кабелей, коммутационных панелей, системы заземления), обеспечивающих обработку, хранение информации и передачу телекоммуникационных сигналов.</w:t>
      </w:r>
    </w:p>
    <w:p>
      <w:pPr>
        <w:jc w:val="both"/>
        <w:rPr>
          <w:szCs w:val="24"/>
        </w:rPr>
      </w:pPr>
    </w:p>
    <w:p>
      <w:pPr>
        <w:jc w:val="both"/>
        <w:rPr>
          <w:szCs w:val="24"/>
        </w:rPr>
      </w:pPr>
      <w:r>
        <w:rPr>
          <w:rFonts w:ascii="Arial" w:hAnsi="Arial" w:cs="Arial"/>
          <w:b/>
          <w:i/>
          <w:sz w:val="20"/>
          <w:szCs w:val="20"/>
        </w:rPr>
        <w:t>ТРЕБОВАНИЕ</w:t>
      </w:r>
      <w:r>
        <w:t xml:space="preserve"> – </w:t>
      </w:r>
      <w:r>
        <w:rPr>
          <w:szCs w:val="24"/>
        </w:rPr>
        <w:t>потребность или ожидание, которое установлено, обычно предполагается или является обязательным</w:t>
      </w:r>
      <w:r>
        <w:t>.</w:t>
      </w:r>
    </w:p>
    <w:p>
      <w:pPr>
        <w:jc w:val="both"/>
        <w:rPr>
          <w:szCs w:val="24"/>
        </w:rPr>
      </w:pPr>
    </w:p>
    <w:p>
      <w:pPr>
        <w:jc w:val="both"/>
        <w:rPr>
          <w:szCs w:val="24"/>
        </w:rPr>
      </w:pPr>
    </w:p>
    <w:p>
      <w:pPr>
        <w:pStyle w:val="S4"/>
        <w:keepNext/>
        <w:keepLines/>
        <w:widowControl/>
        <w:rPr>
          <w:rFonts w:ascii="Arial" w:hAnsi="Arial" w:cs="Arial"/>
          <w:b/>
        </w:rPr>
      </w:pPr>
      <w:r>
        <w:rPr>
          <w:rFonts w:ascii="Arial" w:hAnsi="Arial" w:cs="Arial"/>
          <w:b/>
        </w:rPr>
        <w:t>ТЕРМИНЫ И ОПРЕДЕЛЕНИЯ ДЛЯ ЦЕЛЕЙ НАСТОЯЩЕГО ДОКУМЕНТА</w:t>
      </w:r>
    </w:p>
    <w:p>
      <w:pPr>
        <w:keepNext/>
        <w:keepLines/>
        <w:jc w:val="both"/>
      </w:pPr>
    </w:p>
    <w:p>
      <w:pPr>
        <w:keepNext/>
        <w:keepLines/>
        <w:jc w:val="both"/>
        <w:rPr>
          <w:szCs w:val="24"/>
        </w:rPr>
      </w:pPr>
      <w:bookmarkStart w:id="43" w:name="sub_31"/>
      <w:r>
        <w:rPr>
          <w:rFonts w:ascii="Arial" w:hAnsi="Arial" w:cs="Arial"/>
          <w:b/>
          <w:i/>
          <w:caps/>
          <w:sz w:val="20"/>
          <w:szCs w:val="20"/>
          <w:lang w:eastAsia="ru-RU"/>
        </w:rPr>
        <w:t>Авторизация</w:t>
      </w:r>
      <w:r>
        <w:rPr>
          <w:rFonts w:ascii="Arial" w:hAnsi="Arial" w:cs="Arial"/>
          <w:bCs/>
          <w:caps/>
          <w:sz w:val="20"/>
          <w:szCs w:val="20"/>
          <w:lang w:eastAsia="ru-RU"/>
        </w:rPr>
        <w:t xml:space="preserve"> </w:t>
      </w:r>
      <w:r>
        <w:t>–</w:t>
      </w:r>
      <w:r>
        <w:rPr>
          <w:rStyle w:val="afe"/>
          <w:b w:val="0"/>
          <w:bCs/>
          <w:color w:val="auto"/>
          <w:szCs w:val="24"/>
        </w:rPr>
        <w:t xml:space="preserve"> п</w:t>
      </w:r>
      <w:r>
        <w:t>редоставление разрешения определенному лицу или группе лиц прав на выполнение определенных действий; а также процесс проверки (подтверждения) данных прав при попытке выполнения этих действий.</w:t>
      </w:r>
    </w:p>
    <w:p>
      <w:pPr>
        <w:jc w:val="both"/>
        <w:rPr>
          <w:szCs w:val="24"/>
        </w:rPr>
      </w:pPr>
    </w:p>
    <w:p>
      <w:pPr>
        <w:jc w:val="both"/>
        <w:rPr>
          <w:szCs w:val="24"/>
        </w:rPr>
      </w:pPr>
      <w:r>
        <w:rPr>
          <w:rFonts w:ascii="Arial" w:hAnsi="Arial" w:cs="Arial"/>
          <w:b/>
          <w:bCs/>
          <w:i/>
          <w:caps/>
          <w:sz w:val="20"/>
          <w:szCs w:val="20"/>
          <w:lang w:eastAsia="ru-RU"/>
        </w:rPr>
        <w:t>Безопасность сети связи</w:t>
      </w:r>
      <w:r>
        <w:rPr>
          <w:bCs/>
          <w:caps/>
          <w:szCs w:val="24"/>
          <w:lang w:eastAsia="ru-RU"/>
        </w:rPr>
        <w:t xml:space="preserve"> </w:t>
      </w:r>
      <w:r>
        <w:rPr>
          <w:rStyle w:val="afe"/>
          <w:b w:val="0"/>
          <w:bCs/>
          <w:color w:val="auto"/>
          <w:szCs w:val="24"/>
        </w:rPr>
        <w:t xml:space="preserve">– </w:t>
      </w:r>
      <w:r>
        <w:rPr>
          <w:szCs w:val="24"/>
        </w:rPr>
        <w:t xml:space="preserve">способность </w:t>
      </w:r>
      <w:r>
        <w:t>сети электросвязи противодействовать определенному множеству преднамеренных или непреднамеренных дестабилизирующих воздействий на входящие в состав сети средства, линии связи и технологические процессы (протоколы), что может привести к ухудшению качества услуг, предоставляемых сетью электросвязи.</w:t>
      </w:r>
    </w:p>
    <w:p>
      <w:pPr>
        <w:jc w:val="both"/>
        <w:rPr>
          <w:szCs w:val="24"/>
        </w:rPr>
      </w:pPr>
    </w:p>
    <w:p>
      <w:pPr>
        <w:jc w:val="both"/>
        <w:rPr>
          <w:szCs w:val="24"/>
        </w:rPr>
      </w:pPr>
      <w:r>
        <w:rPr>
          <w:rFonts w:ascii="Arial" w:hAnsi="Arial" w:cs="Arial"/>
          <w:b/>
          <w:bCs/>
          <w:i/>
          <w:caps/>
          <w:sz w:val="20"/>
          <w:szCs w:val="20"/>
          <w:lang w:eastAsia="ru-RU"/>
        </w:rPr>
        <w:t xml:space="preserve">Безопасность </w:t>
      </w:r>
      <w:r>
        <w:rPr>
          <w:rFonts w:ascii="Arial" w:hAnsi="Arial" w:cs="Arial"/>
          <w:b/>
          <w:i/>
          <w:caps/>
          <w:sz w:val="20"/>
          <w:szCs w:val="20"/>
          <w:lang w:eastAsia="ru-RU"/>
        </w:rPr>
        <w:t>Телекоммуникационной инфраструктуры</w:t>
      </w:r>
      <w:r>
        <w:rPr>
          <w:rFonts w:ascii="Arial" w:hAnsi="Arial" w:cs="Arial"/>
          <w:bCs/>
          <w:caps/>
          <w:sz w:val="20"/>
          <w:szCs w:val="20"/>
          <w:lang w:eastAsia="ru-RU"/>
        </w:rPr>
        <w:t xml:space="preserve"> </w:t>
      </w:r>
      <w:r>
        <w:t>–</w:t>
      </w:r>
      <w:r>
        <w:rPr>
          <w:rStyle w:val="afe"/>
          <w:b w:val="0"/>
          <w:bCs/>
          <w:color w:val="auto"/>
          <w:szCs w:val="24"/>
        </w:rPr>
        <w:t xml:space="preserve"> </w:t>
      </w:r>
      <w:r>
        <w:rPr>
          <w:szCs w:val="24"/>
        </w:rPr>
        <w:t xml:space="preserve">способность телекоммуникационной инфраструктуры противостоять определенным преднамеренным и/или непреднамеренным дестабилизирующим воздействиям </w:t>
      </w:r>
      <w:r>
        <w:t>на входящие в состав объекты, оборудование и средства</w:t>
      </w:r>
      <w:r>
        <w:rPr>
          <w:szCs w:val="24"/>
        </w:rPr>
        <w:t>.</w:t>
      </w:r>
    </w:p>
    <w:p>
      <w:pPr>
        <w:jc w:val="both"/>
        <w:rPr>
          <w:szCs w:val="24"/>
        </w:rPr>
      </w:pPr>
    </w:p>
    <w:p>
      <w:pPr>
        <w:jc w:val="both"/>
      </w:pPr>
      <w:bookmarkStart w:id="44" w:name="sub_32"/>
      <w:bookmarkEnd w:id="43"/>
      <w:r>
        <w:rPr>
          <w:rFonts w:ascii="Arial" w:hAnsi="Arial" w:cs="Arial"/>
          <w:b/>
          <w:i/>
          <w:caps/>
          <w:sz w:val="20"/>
          <w:szCs w:val="20"/>
          <w:lang w:eastAsia="ru-RU"/>
        </w:rPr>
        <w:t>Дестабилизирующее воздействие</w:t>
      </w:r>
      <w:r>
        <w:rPr>
          <w:rStyle w:val="afe"/>
          <w:b w:val="0"/>
          <w:bCs/>
          <w:color w:val="auto"/>
          <w:szCs w:val="24"/>
        </w:rPr>
        <w:t xml:space="preserve"> – </w:t>
      </w:r>
      <w:r>
        <w:t>действие, источником которого является физический или технологический процесс внутреннего или внешнего характера, приводящее к нарушениям функционирования телекоммуникационной инфраструктуры.</w:t>
      </w:r>
    </w:p>
    <w:p>
      <w:bookmarkStart w:id="45" w:name="sub_34"/>
      <w:bookmarkEnd w:id="44"/>
    </w:p>
    <w:p>
      <w:pPr>
        <w:autoSpaceDE w:val="0"/>
        <w:autoSpaceDN w:val="0"/>
        <w:adjustRightInd w:val="0"/>
        <w:jc w:val="both"/>
        <w:rPr>
          <w:szCs w:val="24"/>
        </w:rPr>
      </w:pPr>
      <w:r>
        <w:rPr>
          <w:rFonts w:ascii="Arial" w:hAnsi="Arial" w:cs="Arial"/>
          <w:b/>
          <w:i/>
          <w:caps/>
          <w:sz w:val="20"/>
          <w:szCs w:val="20"/>
          <w:lang w:eastAsia="ru-RU"/>
        </w:rPr>
        <w:t>Коммутационное помещение</w:t>
      </w:r>
      <w:r>
        <w:rPr>
          <w:rFonts w:ascii="Arial" w:hAnsi="Arial" w:cs="Arial"/>
          <w:szCs w:val="24"/>
        </w:rPr>
        <w:t xml:space="preserve"> </w:t>
      </w:r>
      <w:r>
        <w:t xml:space="preserve">– </w:t>
      </w:r>
      <w:r>
        <w:rPr>
          <w:szCs w:val="24"/>
        </w:rPr>
        <w:t>помещение, в котором размещаются офисная (автоматическая телефонная станция), учрежденческая автоматическая телефонная станция, учрежденческая производственная автоматическая телефонная станция, опорно-транзитная автоматическая телефонная станция.</w:t>
      </w:r>
    </w:p>
    <w:p>
      <w:pPr>
        <w:autoSpaceDE w:val="0"/>
        <w:autoSpaceDN w:val="0"/>
        <w:adjustRightInd w:val="0"/>
        <w:jc w:val="both"/>
        <w:rPr>
          <w:szCs w:val="24"/>
        </w:rPr>
      </w:pPr>
    </w:p>
    <w:p>
      <w:pPr>
        <w:autoSpaceDE w:val="0"/>
        <w:autoSpaceDN w:val="0"/>
        <w:adjustRightInd w:val="0"/>
        <w:jc w:val="both"/>
        <w:rPr>
          <w:szCs w:val="24"/>
        </w:rPr>
      </w:pPr>
      <w:r>
        <w:rPr>
          <w:rFonts w:ascii="Arial" w:hAnsi="Arial" w:cs="Arial"/>
          <w:b/>
          <w:i/>
          <w:caps/>
          <w:sz w:val="20"/>
          <w:szCs w:val="20"/>
          <w:lang w:eastAsia="ru-RU"/>
        </w:rPr>
        <w:t>КОНТРОЛИРУЕМАЯ ЗОНА</w:t>
      </w:r>
      <w:r>
        <w:t xml:space="preserve"> – пространство (территория, здание, часть здания, помещение), в котором исключено неконтролируемое пребывание работников и посетителей ПАО «НК «Роснефть» или Общества Группы, а также транспортных средств.</w:t>
      </w:r>
    </w:p>
    <w:p>
      <w:pPr>
        <w:autoSpaceDE w:val="0"/>
        <w:autoSpaceDN w:val="0"/>
        <w:adjustRightInd w:val="0"/>
        <w:jc w:val="both"/>
        <w:rPr>
          <w:szCs w:val="24"/>
        </w:rPr>
      </w:pPr>
    </w:p>
    <w:p>
      <w:pPr>
        <w:autoSpaceDE w:val="0"/>
        <w:autoSpaceDN w:val="0"/>
        <w:adjustRightInd w:val="0"/>
        <w:jc w:val="both"/>
        <w:rPr>
          <w:szCs w:val="24"/>
        </w:rPr>
      </w:pPr>
      <w:r>
        <w:rPr>
          <w:rFonts w:ascii="Arial" w:hAnsi="Arial" w:cs="Arial"/>
          <w:b/>
          <w:i/>
          <w:caps/>
          <w:sz w:val="20"/>
          <w:szCs w:val="20"/>
          <w:lang w:eastAsia="ru-RU"/>
        </w:rPr>
        <w:lastRenderedPageBreak/>
        <w:t>Кроссовое помещение</w:t>
      </w:r>
      <w:r>
        <w:rPr>
          <w:rFonts w:ascii="Arial" w:hAnsi="Arial" w:cs="Arial"/>
          <w:szCs w:val="24"/>
        </w:rPr>
        <w:t xml:space="preserve"> </w:t>
      </w:r>
      <w:r>
        <w:t xml:space="preserve">– </w:t>
      </w:r>
      <w:r>
        <w:rPr>
          <w:szCs w:val="24"/>
        </w:rPr>
        <w:t>помещение или пространство, отведенное под коммутацию телекоммуникационных кабелей.</w:t>
      </w:r>
    </w:p>
    <w:p>
      <w:pPr>
        <w:rPr>
          <w:szCs w:val="24"/>
        </w:rPr>
      </w:pPr>
    </w:p>
    <w:p>
      <w:pPr>
        <w:autoSpaceDE w:val="0"/>
        <w:autoSpaceDN w:val="0"/>
        <w:adjustRightInd w:val="0"/>
        <w:jc w:val="both"/>
        <w:rPr>
          <w:szCs w:val="24"/>
        </w:rPr>
      </w:pPr>
      <w:r>
        <w:rPr>
          <w:rFonts w:ascii="Arial" w:hAnsi="Arial" w:cs="Arial"/>
          <w:b/>
          <w:i/>
          <w:caps/>
          <w:sz w:val="20"/>
          <w:szCs w:val="20"/>
          <w:lang w:eastAsia="ru-RU"/>
        </w:rPr>
        <w:t xml:space="preserve">Меры обеспечения безопасности </w:t>
      </w:r>
      <w:r>
        <w:rPr>
          <w:rFonts w:ascii="Arial" w:hAnsi="Arial" w:cs="Arial"/>
          <w:b/>
          <w:bCs/>
          <w:i/>
          <w:caps/>
          <w:sz w:val="20"/>
          <w:szCs w:val="20"/>
          <w:lang w:eastAsia="ru-RU"/>
        </w:rPr>
        <w:t>телекоммуникационной инфраструктуры</w:t>
      </w:r>
      <w:r>
        <w:rPr>
          <w:caps/>
          <w:szCs w:val="24"/>
          <w:lang w:eastAsia="ru-RU"/>
        </w:rPr>
        <w:t xml:space="preserve"> </w:t>
      </w:r>
      <w:r>
        <w:rPr>
          <w:szCs w:val="24"/>
        </w:rPr>
        <w:t>– набор функций, определяющих непосредственную или косвенную реализацию требований безопасности телекоммуникационной инфраструктуры.</w:t>
      </w:r>
    </w:p>
    <w:p>
      <w:pPr>
        <w:jc w:val="both"/>
        <w:rPr>
          <w:szCs w:val="24"/>
        </w:rPr>
      </w:pPr>
      <w:bookmarkStart w:id="46" w:name="sub_39"/>
      <w:bookmarkEnd w:id="45"/>
    </w:p>
    <w:p>
      <w:pPr>
        <w:autoSpaceDE w:val="0"/>
        <w:autoSpaceDN w:val="0"/>
        <w:adjustRightInd w:val="0"/>
        <w:jc w:val="both"/>
        <w:rPr>
          <w:szCs w:val="28"/>
        </w:rPr>
      </w:pPr>
      <w:r>
        <w:rPr>
          <w:rFonts w:ascii="Arial" w:hAnsi="Arial" w:cs="Arial"/>
          <w:b/>
          <w:i/>
          <w:caps/>
          <w:sz w:val="20"/>
          <w:szCs w:val="20"/>
          <w:lang w:eastAsia="ru-RU"/>
        </w:rPr>
        <w:t>ПОЛИТИКА ИНФОРМАЦИОННОЙ БЕЗОПАСНОСТИ</w:t>
      </w:r>
      <w:r>
        <w:rPr>
          <w:caps/>
          <w:szCs w:val="24"/>
          <w:lang w:eastAsia="ru-RU"/>
        </w:rPr>
        <w:t xml:space="preserve"> </w:t>
      </w:r>
      <w:r>
        <w:rPr>
          <w:szCs w:val="24"/>
        </w:rPr>
        <w:t xml:space="preserve">– </w:t>
      </w:r>
      <w:r>
        <w:t>совокупность документированных управленческих решений, направленных на обеспечение информационной безопасности конфиденциальных данных и информационных процессов в Компании</w:t>
      </w:r>
      <w:r>
        <w:rPr>
          <w:szCs w:val="28"/>
        </w:rPr>
        <w:t>.</w:t>
      </w:r>
    </w:p>
    <w:p>
      <w:pPr>
        <w:jc w:val="both"/>
        <w:rPr>
          <w:szCs w:val="24"/>
        </w:rPr>
      </w:pPr>
      <w:bookmarkStart w:id="47" w:name="sub_310"/>
      <w:bookmarkEnd w:id="46"/>
    </w:p>
    <w:p>
      <w:pPr>
        <w:jc w:val="both"/>
      </w:pPr>
      <w:r>
        <w:rPr>
          <w:rFonts w:ascii="Arial" w:hAnsi="Arial" w:cs="Arial"/>
          <w:b/>
          <w:bCs/>
          <w:i/>
          <w:caps/>
          <w:sz w:val="20"/>
          <w:szCs w:val="20"/>
          <w:lang w:eastAsia="ru-RU"/>
        </w:rPr>
        <w:t>Серверное помещение</w:t>
      </w:r>
      <w:r>
        <w:t xml:space="preserve"> </w:t>
      </w:r>
      <w:r>
        <w:rPr>
          <w:szCs w:val="24"/>
        </w:rPr>
        <w:t xml:space="preserve">– </w:t>
      </w:r>
      <w:r>
        <w:t>выделенное технологическое помещение со специально созданными и поддерживаемыми инженерными системами и условиями для размещения и функционирования серверов и средств связи.</w:t>
      </w:r>
    </w:p>
    <w:p>
      <w:pPr>
        <w:jc w:val="both"/>
        <w:rPr>
          <w:szCs w:val="24"/>
        </w:rPr>
      </w:pPr>
    </w:p>
    <w:p>
      <w:pPr>
        <w:jc w:val="both"/>
        <w:rPr>
          <w:szCs w:val="24"/>
        </w:rPr>
      </w:pPr>
      <w:r>
        <w:rPr>
          <w:rFonts w:ascii="Arial" w:hAnsi="Arial" w:cs="Arial"/>
          <w:b/>
          <w:i/>
          <w:caps/>
          <w:sz w:val="20"/>
          <w:szCs w:val="20"/>
          <w:lang w:eastAsia="ru-RU"/>
        </w:rPr>
        <w:t>система охранной сигнализации</w:t>
      </w:r>
      <w:r>
        <w:rPr>
          <w:rStyle w:val="urtxtstd"/>
        </w:rPr>
        <w:t xml:space="preserve"> </w:t>
      </w:r>
      <w:r>
        <w:t>–</w:t>
      </w:r>
      <w:r>
        <w:rPr>
          <w:rStyle w:val="afe"/>
          <w:b w:val="0"/>
          <w:bCs/>
          <w:color w:val="auto"/>
          <w:szCs w:val="24"/>
        </w:rPr>
        <w:t xml:space="preserve"> </w:t>
      </w:r>
      <w:r>
        <w:rPr>
          <w:rStyle w:val="urtxtstd"/>
        </w:rPr>
        <w:t>совокупность совместно действующих технических средств для обнаружения несанкционированного проникновения на охраняемый объект, передачи, сбора, обработки и представления информации в заданном виде</w:t>
      </w:r>
      <w:r>
        <w:rPr>
          <w:szCs w:val="24"/>
        </w:rPr>
        <w:t>.</w:t>
      </w:r>
    </w:p>
    <w:p>
      <w:pPr>
        <w:tabs>
          <w:tab w:val="left" w:pos="0"/>
          <w:tab w:val="left" w:pos="9899"/>
        </w:tabs>
        <w:jc w:val="both"/>
      </w:pPr>
      <w:bookmarkStart w:id="48" w:name="_Toc149983192"/>
      <w:bookmarkStart w:id="49" w:name="_Toc149985386"/>
      <w:bookmarkEnd w:id="47"/>
    </w:p>
    <w:p>
      <w:pPr>
        <w:tabs>
          <w:tab w:val="left" w:pos="0"/>
          <w:tab w:val="left" w:pos="9899"/>
        </w:tabs>
        <w:spacing w:before="120"/>
        <w:ind w:right="-1"/>
        <w:jc w:val="both"/>
        <w:sectPr>
          <w:headerReference w:type="even" r:id="rId18"/>
          <w:headerReference w:type="default" r:id="rId19"/>
          <w:headerReference w:type="first" r:id="rId20"/>
          <w:pgSz w:w="11906" w:h="16838" w:code="9"/>
          <w:pgMar w:top="510" w:right="1021" w:bottom="567" w:left="1247" w:header="737" w:footer="680" w:gutter="0"/>
          <w:cols w:space="708"/>
          <w:docGrid w:linePitch="360"/>
        </w:sectPr>
      </w:pPr>
    </w:p>
    <w:p>
      <w:pPr>
        <w:pStyle w:val="S1"/>
        <w:tabs>
          <w:tab w:val="left" w:pos="567"/>
        </w:tabs>
        <w:ind w:left="0" w:firstLine="0"/>
        <w:jc w:val="left"/>
      </w:pPr>
      <w:bookmarkStart w:id="50" w:name="_Toc153013094"/>
      <w:bookmarkStart w:id="51" w:name="_Toc156727020"/>
      <w:bookmarkStart w:id="52" w:name="_Toc164238419"/>
      <w:bookmarkStart w:id="53" w:name="_Toc480899108"/>
      <w:bookmarkEnd w:id="48"/>
      <w:bookmarkEnd w:id="49"/>
      <w:r>
        <w:rPr>
          <w:caps w:val="0"/>
        </w:rPr>
        <w:lastRenderedPageBreak/>
        <w:t>ОБОЗНАЧЕНИЯ И СОКРАЩЕНИЯ</w:t>
      </w:r>
      <w:bookmarkEnd w:id="50"/>
      <w:bookmarkEnd w:id="51"/>
      <w:bookmarkEnd w:id="52"/>
      <w:bookmarkEnd w:id="53"/>
    </w:p>
    <w:p>
      <w:pPr>
        <w:tabs>
          <w:tab w:val="left" w:pos="0"/>
          <w:tab w:val="left" w:pos="9899"/>
        </w:tabs>
        <w:jc w:val="both"/>
      </w:pPr>
    </w:p>
    <w:p>
      <w:pPr>
        <w:jc w:val="both"/>
      </w:pPr>
    </w:p>
    <w:p>
      <w:pPr>
        <w:jc w:val="both"/>
      </w:pPr>
      <w:r>
        <w:rPr>
          <w:rFonts w:ascii="Arial" w:hAnsi="Arial" w:cs="Arial"/>
          <w:b/>
          <w:i/>
          <w:caps/>
          <w:sz w:val="20"/>
          <w:szCs w:val="20"/>
          <w:lang w:eastAsia="ru-RU"/>
        </w:rPr>
        <w:t>АВР</w:t>
      </w:r>
      <w:r>
        <w:rPr>
          <w:szCs w:val="24"/>
        </w:rPr>
        <w:t xml:space="preserve"> – </w:t>
      </w:r>
      <w:r>
        <w:rPr>
          <w:bCs/>
          <w:szCs w:val="24"/>
          <w:lang w:eastAsia="ru-RU"/>
        </w:rPr>
        <w:t>автомат ввода резерва.</w:t>
      </w:r>
    </w:p>
    <w:p>
      <w:pPr>
        <w:jc w:val="both"/>
        <w:rPr>
          <w:szCs w:val="24"/>
        </w:rPr>
      </w:pPr>
    </w:p>
    <w:p>
      <w:pPr>
        <w:jc w:val="both"/>
        <w:rPr>
          <w:szCs w:val="24"/>
        </w:rPr>
      </w:pPr>
      <w:r>
        <w:rPr>
          <w:rFonts w:ascii="Arial" w:hAnsi="Arial" w:cs="Arial"/>
          <w:b/>
          <w:i/>
          <w:caps/>
          <w:sz w:val="20"/>
          <w:szCs w:val="20"/>
          <w:lang w:eastAsia="ru-RU"/>
        </w:rPr>
        <w:t>АЗС</w:t>
      </w:r>
      <w:r>
        <w:rPr>
          <w:szCs w:val="24"/>
        </w:rPr>
        <w:t xml:space="preserve"> – автомат защиты сети.</w:t>
      </w:r>
    </w:p>
    <w:p>
      <w:pPr>
        <w:jc w:val="both"/>
        <w:rPr>
          <w:szCs w:val="24"/>
        </w:rPr>
      </w:pPr>
    </w:p>
    <w:p>
      <w:pPr>
        <w:jc w:val="both"/>
        <w:rPr>
          <w:szCs w:val="24"/>
        </w:rPr>
      </w:pPr>
      <w:r>
        <w:rPr>
          <w:rFonts w:ascii="Arial" w:hAnsi="Arial" w:cs="Arial"/>
          <w:b/>
          <w:i/>
          <w:caps/>
          <w:sz w:val="20"/>
          <w:szCs w:val="20"/>
          <w:lang w:eastAsia="ru-RU"/>
        </w:rPr>
        <w:t>АТС</w:t>
      </w:r>
      <w:r>
        <w:rPr>
          <w:szCs w:val="24"/>
        </w:rPr>
        <w:t xml:space="preserve"> – автоматическая телефонная станция.</w:t>
      </w:r>
    </w:p>
    <w:p>
      <w:pPr>
        <w:jc w:val="both"/>
        <w:rPr>
          <w:szCs w:val="24"/>
        </w:rPr>
      </w:pPr>
    </w:p>
    <w:p>
      <w:pPr>
        <w:jc w:val="both"/>
        <w:rPr>
          <w:szCs w:val="24"/>
        </w:rPr>
      </w:pPr>
      <w:r>
        <w:rPr>
          <w:rFonts w:ascii="Arial" w:hAnsi="Arial" w:cs="Arial"/>
          <w:b/>
          <w:i/>
          <w:caps/>
          <w:sz w:val="20"/>
          <w:szCs w:val="20"/>
          <w:lang w:eastAsia="ru-RU"/>
        </w:rPr>
        <w:t>АСУ ТП</w:t>
      </w:r>
      <w:r>
        <w:rPr>
          <w:caps/>
          <w:szCs w:val="24"/>
          <w:lang w:eastAsia="ru-RU"/>
        </w:rPr>
        <w:t xml:space="preserve"> </w:t>
      </w:r>
      <w:r>
        <w:rPr>
          <w:szCs w:val="24"/>
        </w:rPr>
        <w:t>– автоматизированная система управления технологическим процессом.</w:t>
      </w:r>
    </w:p>
    <w:p>
      <w:pPr>
        <w:jc w:val="both"/>
        <w:rPr>
          <w:szCs w:val="24"/>
        </w:rPr>
      </w:pPr>
    </w:p>
    <w:p>
      <w:pPr>
        <w:jc w:val="both"/>
        <w:rPr>
          <w:szCs w:val="24"/>
        </w:rPr>
      </w:pPr>
      <w:r>
        <w:rPr>
          <w:rFonts w:ascii="Arial" w:hAnsi="Arial" w:cs="Arial"/>
          <w:b/>
          <w:i/>
          <w:caps/>
          <w:sz w:val="20"/>
          <w:szCs w:val="20"/>
          <w:lang w:eastAsia="ru-RU"/>
        </w:rPr>
        <w:t xml:space="preserve">АУГП </w:t>
      </w:r>
      <w:r>
        <w:rPr>
          <w:szCs w:val="24"/>
        </w:rPr>
        <w:t xml:space="preserve">– </w:t>
      </w:r>
      <w:r>
        <w:rPr>
          <w:bCs/>
          <w:szCs w:val="24"/>
          <w:lang w:eastAsia="ru-RU"/>
        </w:rPr>
        <w:t>автоматическая установка газового пожаротушения.</w:t>
      </w:r>
    </w:p>
    <w:p>
      <w:pPr>
        <w:jc w:val="both"/>
        <w:rPr>
          <w:szCs w:val="24"/>
        </w:rPr>
      </w:pPr>
    </w:p>
    <w:p>
      <w:pPr>
        <w:jc w:val="both"/>
        <w:rPr>
          <w:szCs w:val="24"/>
        </w:rPr>
      </w:pPr>
      <w:r>
        <w:rPr>
          <w:rFonts w:ascii="Arial" w:hAnsi="Arial" w:cs="Arial"/>
          <w:b/>
          <w:i/>
          <w:caps/>
          <w:sz w:val="20"/>
          <w:szCs w:val="20"/>
          <w:lang w:eastAsia="ru-RU"/>
        </w:rPr>
        <w:t>ДГУ</w:t>
      </w:r>
      <w:r>
        <w:rPr>
          <w:szCs w:val="24"/>
        </w:rPr>
        <w:t xml:space="preserve"> – дизель-генераторная установка.</w:t>
      </w:r>
    </w:p>
    <w:p>
      <w:pPr>
        <w:jc w:val="both"/>
        <w:rPr>
          <w:szCs w:val="24"/>
        </w:rPr>
      </w:pPr>
    </w:p>
    <w:p>
      <w:pPr>
        <w:jc w:val="both"/>
        <w:rPr>
          <w:szCs w:val="24"/>
        </w:rPr>
      </w:pPr>
      <w:r>
        <w:rPr>
          <w:rStyle w:val="afff1"/>
          <w:rFonts w:eastAsia="Calibri"/>
          <w:sz w:val="20"/>
          <w:szCs w:val="20"/>
        </w:rPr>
        <w:t xml:space="preserve">ДЕМИЛИТАРИЗОВАННАЯ ЗОНА </w:t>
      </w:r>
      <w:r>
        <w:t>(</w:t>
      </w:r>
      <w:r>
        <w:rPr>
          <w:rFonts w:ascii="Arial" w:hAnsi="Arial" w:cs="Arial"/>
          <w:b/>
          <w:i/>
          <w:caps/>
          <w:sz w:val="20"/>
          <w:szCs w:val="20"/>
          <w:lang w:eastAsia="ru-RU"/>
        </w:rPr>
        <w:t>ДМЗ)</w:t>
      </w:r>
      <w:r>
        <w:t xml:space="preserve"> – участок корпоративной сети, расположенный между внешним межсетевым экраном и внешним маршрутизатором, используемым для подключения корпоративной сети к сети телекоммуникационных провайдеров (сети Интернет).</w:t>
      </w:r>
    </w:p>
    <w:p>
      <w:pPr>
        <w:jc w:val="both"/>
        <w:rPr>
          <w:szCs w:val="24"/>
        </w:rPr>
      </w:pPr>
    </w:p>
    <w:p>
      <w:pPr>
        <w:jc w:val="both"/>
      </w:pPr>
      <w:r>
        <w:rPr>
          <w:rFonts w:ascii="Arial" w:hAnsi="Arial" w:cs="Arial"/>
          <w:b/>
          <w:i/>
          <w:sz w:val="20"/>
          <w:szCs w:val="20"/>
        </w:rPr>
        <w:t>ДИРБП</w:t>
      </w:r>
      <w:r>
        <w:t xml:space="preserve"> </w:t>
      </w:r>
      <w:r>
        <w:rPr>
          <w:szCs w:val="24"/>
        </w:rPr>
        <w:t>–</w:t>
      </w:r>
      <w:r>
        <w:t xml:space="preserve"> </w:t>
      </w:r>
      <w:r>
        <w:rPr>
          <w:szCs w:val="24"/>
        </w:rPr>
        <w:t>Департамент информатизации и развития бизнес-процессов ПАО «НК «Роснефть».</w:t>
      </w:r>
    </w:p>
    <w:p>
      <w:pPr>
        <w:jc w:val="both"/>
      </w:pPr>
    </w:p>
    <w:p>
      <w:pPr>
        <w:jc w:val="both"/>
      </w:pPr>
      <w:r>
        <w:rPr>
          <w:rFonts w:ascii="Arial" w:hAnsi="Arial" w:cs="Arial"/>
          <w:b/>
          <w:i/>
          <w:sz w:val="20"/>
          <w:szCs w:val="20"/>
        </w:rPr>
        <w:t>ДОДЦА</w:t>
      </w:r>
      <w:r>
        <w:t xml:space="preserve"> </w:t>
      </w:r>
      <w:r>
        <w:rPr>
          <w:szCs w:val="24"/>
        </w:rPr>
        <w:t>–</w:t>
      </w:r>
      <w:r>
        <w:t xml:space="preserve"> Департамент обеспечения деятельности центрального аппарата ПАО «НК «Роснефть».</w:t>
      </w:r>
    </w:p>
    <w:p>
      <w:pPr>
        <w:jc w:val="both"/>
        <w:rPr>
          <w:szCs w:val="24"/>
        </w:rPr>
      </w:pPr>
    </w:p>
    <w:p>
      <w:pPr>
        <w:jc w:val="both"/>
        <w:rPr>
          <w:szCs w:val="24"/>
        </w:rPr>
      </w:pPr>
      <w:r>
        <w:rPr>
          <w:rFonts w:ascii="Arial" w:hAnsi="Arial" w:cs="Arial"/>
          <w:b/>
          <w:i/>
          <w:caps/>
          <w:sz w:val="20"/>
          <w:szCs w:val="20"/>
          <w:lang w:eastAsia="ru-RU"/>
        </w:rPr>
        <w:t>ЗИП</w:t>
      </w:r>
      <w:r>
        <w:rPr>
          <w:szCs w:val="24"/>
        </w:rPr>
        <w:t xml:space="preserve"> – запасные части, инструменты, принадлежности.</w:t>
      </w:r>
    </w:p>
    <w:p>
      <w:pPr>
        <w:jc w:val="both"/>
        <w:rPr>
          <w:szCs w:val="24"/>
        </w:rPr>
      </w:pPr>
    </w:p>
    <w:p>
      <w:pPr>
        <w:jc w:val="both"/>
        <w:rPr>
          <w:szCs w:val="24"/>
        </w:rPr>
      </w:pPr>
      <w:r>
        <w:rPr>
          <w:rFonts w:ascii="Arial" w:hAnsi="Arial" w:cs="Arial"/>
          <w:b/>
          <w:i/>
          <w:caps/>
          <w:sz w:val="20"/>
          <w:szCs w:val="20"/>
          <w:lang w:eastAsia="ru-RU"/>
        </w:rPr>
        <w:t>ИБП</w:t>
      </w:r>
      <w:r>
        <w:rPr>
          <w:szCs w:val="24"/>
        </w:rPr>
        <w:t xml:space="preserve"> – источник бесперебойного питания.</w:t>
      </w:r>
    </w:p>
    <w:p>
      <w:pPr>
        <w:jc w:val="both"/>
        <w:rPr>
          <w:szCs w:val="24"/>
        </w:rPr>
      </w:pPr>
    </w:p>
    <w:p>
      <w:pPr>
        <w:jc w:val="both"/>
        <w:rPr>
          <w:szCs w:val="24"/>
        </w:rPr>
      </w:pPr>
      <w:r>
        <w:rPr>
          <w:rFonts w:ascii="Arial" w:hAnsi="Arial" w:cs="Arial"/>
          <w:b/>
          <w:i/>
          <w:caps/>
          <w:sz w:val="20"/>
          <w:szCs w:val="20"/>
          <w:lang w:eastAsia="ru-RU"/>
        </w:rPr>
        <w:t>ИС</w:t>
      </w:r>
      <w:r>
        <w:rPr>
          <w:szCs w:val="24"/>
        </w:rPr>
        <w:t xml:space="preserve"> – информационная система.</w:t>
      </w:r>
    </w:p>
    <w:p>
      <w:pPr>
        <w:jc w:val="both"/>
        <w:rPr>
          <w:szCs w:val="24"/>
        </w:rPr>
      </w:pPr>
    </w:p>
    <w:p>
      <w:pPr>
        <w:jc w:val="both"/>
        <w:rPr>
          <w:szCs w:val="24"/>
        </w:rPr>
      </w:pPr>
      <w:r>
        <w:rPr>
          <w:rFonts w:ascii="Arial" w:hAnsi="Arial" w:cs="Arial"/>
          <w:b/>
          <w:i/>
          <w:caps/>
          <w:sz w:val="20"/>
          <w:szCs w:val="20"/>
          <w:lang w:eastAsia="ru-RU"/>
        </w:rPr>
        <w:t>ИТ</w:t>
      </w:r>
      <w:r>
        <w:rPr>
          <w:szCs w:val="24"/>
        </w:rPr>
        <w:t xml:space="preserve"> – информационные технологии.</w:t>
      </w:r>
    </w:p>
    <w:p>
      <w:pPr>
        <w:jc w:val="both"/>
      </w:pPr>
    </w:p>
    <w:p>
      <w:pPr>
        <w:jc w:val="both"/>
        <w:rPr>
          <w:rFonts w:eastAsia="Times New Roman"/>
          <w:color w:val="000000"/>
          <w:szCs w:val="24"/>
          <w:lang w:eastAsia="ru-RU"/>
        </w:rPr>
      </w:pPr>
      <w:r>
        <w:rPr>
          <w:rFonts w:ascii="Arial" w:eastAsia="Times New Roman" w:hAnsi="Arial" w:cs="Arial"/>
          <w:b/>
          <w:bCs/>
          <w:i/>
          <w:iCs/>
          <w:color w:val="000000"/>
          <w:sz w:val="20"/>
          <w:szCs w:val="20"/>
          <w:lang w:eastAsia="ru-RU"/>
        </w:rPr>
        <w:t>КОМПАНИЯ</w:t>
      </w:r>
      <w:r>
        <w:rPr>
          <w:rFonts w:eastAsia="Times New Roman"/>
          <w:bCs/>
          <w:color w:val="000000"/>
          <w:szCs w:val="24"/>
          <w:lang w:eastAsia="ru-RU"/>
        </w:rPr>
        <w:t xml:space="preserve"> </w:t>
      </w:r>
      <w:r>
        <w:rPr>
          <w:rFonts w:eastAsia="Times New Roman"/>
          <w:b/>
          <w:bCs/>
          <w:color w:val="000000"/>
          <w:szCs w:val="24"/>
          <w:lang w:eastAsia="ru-RU"/>
        </w:rPr>
        <w:t>–</w:t>
      </w:r>
      <w:r>
        <w:rPr>
          <w:rFonts w:eastAsia="Times New Roman"/>
          <w:color w:val="000000"/>
          <w:szCs w:val="24"/>
          <w:lang w:eastAsia="ru-RU"/>
        </w:rPr>
        <w:t xml:space="preserve"> группа юридических лиц различных организационно-правовых форм, включая ПАО «НК «Роснефть», в </w:t>
      </w:r>
      <w:r>
        <w:rPr>
          <w:szCs w:val="24"/>
        </w:rPr>
        <w:t>отношении</w:t>
      </w:r>
      <w:r>
        <w:rPr>
          <w:rFonts w:eastAsia="Times New Roman"/>
          <w:color w:val="000000"/>
          <w:szCs w:val="24"/>
          <w:lang w:eastAsia="ru-RU"/>
        </w:rPr>
        <w:t xml:space="preserve"> которых последнее выступает в качестве основного или преобладающего (участвующего) общества.</w:t>
      </w:r>
    </w:p>
    <w:p>
      <w:pPr>
        <w:jc w:val="both"/>
        <w:rPr>
          <w:szCs w:val="24"/>
        </w:rPr>
      </w:pPr>
    </w:p>
    <w:p>
      <w:pPr>
        <w:jc w:val="both"/>
        <w:rPr>
          <w:szCs w:val="24"/>
        </w:rPr>
      </w:pPr>
      <w:r>
        <w:rPr>
          <w:rFonts w:ascii="Arial" w:hAnsi="Arial" w:cs="Arial"/>
          <w:b/>
          <w:i/>
          <w:caps/>
          <w:sz w:val="20"/>
          <w:szCs w:val="20"/>
          <w:lang w:eastAsia="ru-RU"/>
        </w:rPr>
        <w:t>ЛВС</w:t>
      </w:r>
      <w:r>
        <w:rPr>
          <w:szCs w:val="24"/>
        </w:rPr>
        <w:t xml:space="preserve"> – локальная вычислительная сеть.</w:t>
      </w:r>
    </w:p>
    <w:p>
      <w:pPr>
        <w:jc w:val="both"/>
        <w:rPr>
          <w:szCs w:val="24"/>
        </w:rPr>
      </w:pPr>
    </w:p>
    <w:p>
      <w:pPr>
        <w:jc w:val="both"/>
        <w:rPr>
          <w:szCs w:val="24"/>
        </w:rPr>
      </w:pPr>
      <w:r>
        <w:rPr>
          <w:rFonts w:ascii="Arial" w:hAnsi="Arial" w:cs="Arial"/>
          <w:b/>
          <w:i/>
          <w:caps/>
          <w:sz w:val="20"/>
          <w:szCs w:val="20"/>
          <w:lang w:eastAsia="ru-RU"/>
        </w:rPr>
        <w:t>ЛНД</w:t>
      </w:r>
      <w:r>
        <w:rPr>
          <w:szCs w:val="24"/>
        </w:rPr>
        <w:t xml:space="preserve"> – локальный нормативный документ.</w:t>
      </w:r>
    </w:p>
    <w:p>
      <w:pPr>
        <w:jc w:val="both"/>
        <w:rPr>
          <w:szCs w:val="24"/>
        </w:rPr>
      </w:pPr>
    </w:p>
    <w:p>
      <w:pPr>
        <w:jc w:val="both"/>
        <w:rPr>
          <w:szCs w:val="24"/>
        </w:rPr>
      </w:pPr>
      <w:r>
        <w:rPr>
          <w:rFonts w:ascii="Arial" w:hAnsi="Arial" w:cs="Arial"/>
          <w:b/>
          <w:i/>
          <w:caps/>
          <w:sz w:val="20"/>
          <w:szCs w:val="20"/>
          <w:lang w:eastAsia="ru-RU"/>
        </w:rPr>
        <w:t>НСД</w:t>
      </w:r>
      <w:r>
        <w:rPr>
          <w:szCs w:val="24"/>
        </w:rPr>
        <w:t xml:space="preserve"> – несанкционированный доступ.</w:t>
      </w:r>
    </w:p>
    <w:p>
      <w:pPr>
        <w:jc w:val="both"/>
        <w:rPr>
          <w:szCs w:val="24"/>
        </w:rPr>
      </w:pPr>
    </w:p>
    <w:p>
      <w:pPr>
        <w:jc w:val="both"/>
        <w:rPr>
          <w:szCs w:val="24"/>
        </w:rPr>
      </w:pPr>
      <w:r>
        <w:rPr>
          <w:rFonts w:ascii="Arial" w:hAnsi="Arial" w:cs="Arial"/>
          <w:b/>
          <w:i/>
          <w:caps/>
          <w:sz w:val="20"/>
          <w:szCs w:val="20"/>
          <w:lang w:eastAsia="ru-RU"/>
        </w:rPr>
        <w:t>НСВ</w:t>
      </w:r>
      <w:r>
        <w:rPr>
          <w:szCs w:val="24"/>
        </w:rPr>
        <w:t xml:space="preserve"> – несанкционированное воздействие.</w:t>
      </w:r>
    </w:p>
    <w:p>
      <w:pPr>
        <w:jc w:val="both"/>
        <w:rPr>
          <w:szCs w:val="24"/>
        </w:rPr>
      </w:pPr>
    </w:p>
    <w:p>
      <w:pPr>
        <w:jc w:val="both"/>
        <w:rPr>
          <w:szCs w:val="24"/>
        </w:rPr>
      </w:pPr>
      <w:r>
        <w:rPr>
          <w:rFonts w:ascii="Arial" w:hAnsi="Arial" w:cs="Arial"/>
          <w:b/>
          <w:i/>
          <w:caps/>
          <w:sz w:val="20"/>
          <w:szCs w:val="20"/>
          <w:lang w:eastAsia="ru-RU"/>
        </w:rPr>
        <w:t>ОПТС</w:t>
      </w:r>
      <w:r>
        <w:rPr>
          <w:szCs w:val="24"/>
        </w:rPr>
        <w:t xml:space="preserve"> – опорно-транзитная автоматическая телефонная станция.</w:t>
      </w:r>
    </w:p>
    <w:p/>
    <w:p>
      <w:pPr>
        <w:jc w:val="both"/>
      </w:pPr>
      <w:r>
        <w:rPr>
          <w:rFonts w:ascii="Arial" w:eastAsia="Times New Roman" w:hAnsi="Arial" w:cs="Arial"/>
          <w:b/>
          <w:i/>
          <w:caps/>
          <w:sz w:val="20"/>
          <w:szCs w:val="24"/>
          <w:lang w:eastAsia="ru-RU"/>
        </w:rPr>
        <w:t>ОБЩЕСТВО Группы (ОГ)</w:t>
      </w:r>
      <w:r>
        <w:rPr>
          <w:rFonts w:eastAsia="Times New Roman"/>
          <w:color w:val="000000"/>
          <w:szCs w:val="24"/>
          <w:lang w:eastAsia="ru-RU"/>
        </w:rPr>
        <w:t xml:space="preserve"> – </w:t>
      </w:r>
      <w:r>
        <w:t>хозяйственное общество, прямая и (или) косвенная доля владения ПАО</w:t>
      </w:r>
      <w:r>
        <w:rPr>
          <w:lang w:val="en-US"/>
        </w:rPr>
        <w:t> </w:t>
      </w:r>
      <w:r>
        <w:t>«НК</w:t>
      </w:r>
      <w:r>
        <w:rPr>
          <w:lang w:val="en-US"/>
        </w:rPr>
        <w:t> </w:t>
      </w:r>
      <w:r>
        <w:t>«Роснефть» акциями или долями в уставном капитале которого составляет 20</w:t>
      </w:r>
      <w:r>
        <w:rPr>
          <w:lang w:val="en-US"/>
        </w:rPr>
        <w:t> </w:t>
      </w:r>
      <w:r>
        <w:t>процентов и более.</w:t>
      </w:r>
    </w:p>
    <w:p>
      <w:pPr>
        <w:jc w:val="both"/>
        <w:rPr>
          <w:szCs w:val="24"/>
        </w:rPr>
      </w:pPr>
    </w:p>
    <w:p>
      <w:pPr>
        <w:jc w:val="both"/>
        <w:rPr>
          <w:rFonts w:ascii="Arial" w:hAnsi="Arial" w:cs="Arial"/>
          <w:b/>
          <w:i/>
          <w:caps/>
          <w:sz w:val="20"/>
          <w:szCs w:val="20"/>
          <w:lang w:eastAsia="ru-RU"/>
        </w:rPr>
      </w:pPr>
      <w:r>
        <w:rPr>
          <w:rFonts w:ascii="Arial" w:hAnsi="Arial" w:cs="Arial"/>
          <w:b/>
          <w:i/>
          <w:caps/>
          <w:sz w:val="20"/>
          <w:szCs w:val="20"/>
          <w:lang w:eastAsia="ru-RU"/>
        </w:rPr>
        <w:lastRenderedPageBreak/>
        <w:t>ПБЭ</w:t>
      </w:r>
      <w:r>
        <w:rPr>
          <w:szCs w:val="24"/>
        </w:rPr>
        <w:t xml:space="preserve"> – подсистема бесперебойного электропитания.</w:t>
      </w:r>
    </w:p>
    <w:p>
      <w:pPr>
        <w:jc w:val="both"/>
        <w:rPr>
          <w:caps/>
          <w:szCs w:val="24"/>
          <w:lang w:eastAsia="ru-RU"/>
        </w:rPr>
      </w:pPr>
    </w:p>
    <w:p>
      <w:pPr>
        <w:jc w:val="both"/>
        <w:rPr>
          <w:rFonts w:ascii="Arial" w:hAnsi="Arial" w:cs="Arial"/>
          <w:b/>
          <w:i/>
          <w:caps/>
          <w:sz w:val="20"/>
          <w:szCs w:val="20"/>
          <w:lang w:eastAsia="ru-RU"/>
        </w:rPr>
      </w:pPr>
      <w:r>
        <w:rPr>
          <w:rFonts w:ascii="Arial" w:hAnsi="Arial" w:cs="Arial"/>
          <w:b/>
          <w:i/>
          <w:caps/>
          <w:sz w:val="20"/>
          <w:szCs w:val="20"/>
          <w:lang w:eastAsia="ru-RU"/>
        </w:rPr>
        <w:t>ПГЭ</w:t>
      </w:r>
      <w:r>
        <w:rPr>
          <w:szCs w:val="24"/>
        </w:rPr>
        <w:t xml:space="preserve"> – подсистема гарантированного электропитания.</w:t>
      </w:r>
    </w:p>
    <w:p>
      <w:pPr>
        <w:jc w:val="both"/>
        <w:rPr>
          <w:szCs w:val="24"/>
        </w:rPr>
      </w:pPr>
    </w:p>
    <w:p>
      <w:pPr>
        <w:jc w:val="both"/>
        <w:rPr>
          <w:iCs/>
          <w:szCs w:val="24"/>
          <w:lang w:eastAsia="ru-RU"/>
        </w:rPr>
      </w:pPr>
      <w:r>
        <w:rPr>
          <w:rFonts w:ascii="Arial" w:hAnsi="Arial" w:cs="Arial"/>
          <w:b/>
          <w:i/>
          <w:caps/>
          <w:sz w:val="20"/>
          <w:szCs w:val="20"/>
          <w:lang w:eastAsia="ru-RU"/>
        </w:rPr>
        <w:t>ПГП</w:t>
      </w:r>
      <w:r>
        <w:rPr>
          <w:szCs w:val="24"/>
        </w:rPr>
        <w:t xml:space="preserve"> – </w:t>
      </w:r>
      <w:r>
        <w:t>п</w:t>
      </w:r>
      <w:r>
        <w:rPr>
          <w:iCs/>
          <w:szCs w:val="24"/>
          <w:lang w:eastAsia="ru-RU"/>
        </w:rPr>
        <w:t>одсистема газового пожаротушения.</w:t>
      </w:r>
    </w:p>
    <w:p>
      <w:pPr>
        <w:jc w:val="both"/>
        <w:rPr>
          <w:iCs/>
          <w:szCs w:val="24"/>
          <w:lang w:eastAsia="ru-RU"/>
        </w:rPr>
      </w:pPr>
    </w:p>
    <w:p>
      <w:pPr>
        <w:jc w:val="both"/>
        <w:rPr>
          <w:szCs w:val="24"/>
        </w:rPr>
      </w:pPr>
      <w:r>
        <w:rPr>
          <w:rFonts w:ascii="Arial" w:hAnsi="Arial" w:cs="Arial"/>
          <w:b/>
          <w:i/>
          <w:caps/>
          <w:sz w:val="20"/>
          <w:szCs w:val="20"/>
          <w:lang w:eastAsia="ru-RU"/>
        </w:rPr>
        <w:t>ПГУ</w:t>
      </w:r>
      <w:r>
        <w:rPr>
          <w:szCs w:val="24"/>
        </w:rPr>
        <w:t xml:space="preserve"> – п</w:t>
      </w:r>
      <w:r>
        <w:rPr>
          <w:iCs/>
          <w:szCs w:val="24"/>
          <w:lang w:eastAsia="ru-RU"/>
        </w:rPr>
        <w:t>одсистема газо- и дымоудаления.</w:t>
      </w:r>
    </w:p>
    <w:p>
      <w:pPr>
        <w:jc w:val="both"/>
        <w:rPr>
          <w:szCs w:val="24"/>
        </w:rPr>
      </w:pPr>
    </w:p>
    <w:p>
      <w:pPr>
        <w:jc w:val="both"/>
        <w:rPr>
          <w:szCs w:val="24"/>
        </w:rPr>
      </w:pPr>
      <w:r>
        <w:rPr>
          <w:rFonts w:ascii="Arial" w:hAnsi="Arial" w:cs="Arial"/>
          <w:b/>
          <w:i/>
          <w:caps/>
          <w:sz w:val="20"/>
          <w:szCs w:val="20"/>
          <w:lang w:eastAsia="ru-RU"/>
        </w:rPr>
        <w:t>ПКЗИ</w:t>
      </w:r>
      <w:r>
        <w:rPr>
          <w:szCs w:val="24"/>
        </w:rPr>
        <w:t xml:space="preserve"> – программный комплекс защиты информации.</w:t>
      </w:r>
    </w:p>
    <w:p>
      <w:pPr>
        <w:jc w:val="both"/>
        <w:rPr>
          <w:szCs w:val="24"/>
        </w:rPr>
      </w:pPr>
    </w:p>
    <w:p>
      <w:pPr>
        <w:jc w:val="both"/>
        <w:rPr>
          <w:szCs w:val="24"/>
        </w:rPr>
      </w:pPr>
      <w:r>
        <w:rPr>
          <w:rFonts w:ascii="Arial" w:hAnsi="Arial" w:cs="Arial"/>
          <w:b/>
          <w:i/>
          <w:caps/>
          <w:sz w:val="20"/>
          <w:szCs w:val="20"/>
          <w:lang w:eastAsia="ru-RU"/>
        </w:rPr>
        <w:t>ПО</w:t>
      </w:r>
      <w:r>
        <w:rPr>
          <w:szCs w:val="24"/>
        </w:rPr>
        <w:t xml:space="preserve"> – программное обеспечение.</w:t>
      </w:r>
    </w:p>
    <w:p>
      <w:pPr>
        <w:jc w:val="both"/>
        <w:rPr>
          <w:szCs w:val="24"/>
        </w:rPr>
      </w:pPr>
    </w:p>
    <w:p>
      <w:pPr>
        <w:jc w:val="both"/>
        <w:rPr>
          <w:szCs w:val="24"/>
        </w:rPr>
      </w:pPr>
      <w:r>
        <w:rPr>
          <w:rFonts w:ascii="Arial" w:hAnsi="Arial" w:cs="Arial"/>
          <w:b/>
          <w:i/>
          <w:caps/>
          <w:sz w:val="20"/>
          <w:szCs w:val="20"/>
          <w:lang w:eastAsia="ru-RU"/>
        </w:rPr>
        <w:t>ПОК</w:t>
      </w:r>
      <w:r>
        <w:rPr>
          <w:szCs w:val="24"/>
        </w:rPr>
        <w:t xml:space="preserve"> – п</w:t>
      </w:r>
      <w:r>
        <w:rPr>
          <w:iCs/>
          <w:szCs w:val="24"/>
          <w:lang w:eastAsia="ru-RU"/>
        </w:rPr>
        <w:t>одсистема организации коммуникаций.</w:t>
      </w:r>
    </w:p>
    <w:p>
      <w:pPr>
        <w:jc w:val="both"/>
        <w:rPr>
          <w:szCs w:val="24"/>
        </w:rPr>
      </w:pPr>
    </w:p>
    <w:p>
      <w:pPr>
        <w:jc w:val="both"/>
        <w:rPr>
          <w:szCs w:val="24"/>
        </w:rPr>
      </w:pPr>
      <w:r>
        <w:rPr>
          <w:rFonts w:ascii="Arial" w:hAnsi="Arial" w:cs="Arial"/>
          <w:b/>
          <w:i/>
          <w:caps/>
          <w:sz w:val="20"/>
          <w:szCs w:val="20"/>
          <w:lang w:eastAsia="ru-RU"/>
        </w:rPr>
        <w:t>ППС</w:t>
      </w:r>
      <w:r>
        <w:rPr>
          <w:szCs w:val="24"/>
        </w:rPr>
        <w:t xml:space="preserve"> – п</w:t>
      </w:r>
      <w:r>
        <w:rPr>
          <w:iCs/>
          <w:szCs w:val="24"/>
          <w:lang w:eastAsia="ru-RU"/>
        </w:rPr>
        <w:t>одсистема пожарной сигнализации.</w:t>
      </w:r>
    </w:p>
    <w:p>
      <w:pPr>
        <w:jc w:val="both"/>
        <w:rPr>
          <w:szCs w:val="24"/>
        </w:rPr>
      </w:pPr>
    </w:p>
    <w:p>
      <w:pPr>
        <w:jc w:val="both"/>
        <w:rPr>
          <w:szCs w:val="24"/>
        </w:rPr>
      </w:pPr>
      <w:r>
        <w:rPr>
          <w:rFonts w:ascii="Arial" w:hAnsi="Arial" w:cs="Arial"/>
          <w:b/>
          <w:i/>
          <w:caps/>
          <w:sz w:val="20"/>
          <w:szCs w:val="20"/>
          <w:lang w:eastAsia="ru-RU"/>
        </w:rPr>
        <w:t>ПРЭ</w:t>
      </w:r>
      <w:r>
        <w:rPr>
          <w:szCs w:val="24"/>
        </w:rPr>
        <w:t xml:space="preserve"> – подсистема распределения электропитания.</w:t>
      </w:r>
    </w:p>
    <w:p>
      <w:pPr>
        <w:jc w:val="both"/>
        <w:rPr>
          <w:szCs w:val="24"/>
        </w:rPr>
      </w:pPr>
    </w:p>
    <w:p>
      <w:pPr>
        <w:jc w:val="both"/>
        <w:rPr>
          <w:szCs w:val="24"/>
        </w:rPr>
      </w:pPr>
      <w:r>
        <w:rPr>
          <w:rFonts w:ascii="Arial" w:hAnsi="Arial" w:cs="Arial"/>
          <w:b/>
          <w:i/>
          <w:caps/>
          <w:sz w:val="20"/>
          <w:szCs w:val="20"/>
          <w:lang w:eastAsia="ru-RU"/>
        </w:rPr>
        <w:t>ПТЗ</w:t>
      </w:r>
      <w:r>
        <w:rPr>
          <w:szCs w:val="24"/>
        </w:rPr>
        <w:t xml:space="preserve"> – подсистема технологического заземления.</w:t>
      </w:r>
    </w:p>
    <w:p>
      <w:pPr>
        <w:jc w:val="both"/>
        <w:rPr>
          <w:szCs w:val="24"/>
        </w:rPr>
      </w:pPr>
    </w:p>
    <w:p>
      <w:pPr>
        <w:jc w:val="both"/>
        <w:rPr>
          <w:szCs w:val="24"/>
        </w:rPr>
      </w:pPr>
      <w:r>
        <w:rPr>
          <w:rFonts w:ascii="Arial" w:hAnsi="Arial" w:cs="Arial"/>
          <w:b/>
          <w:i/>
          <w:caps/>
          <w:sz w:val="20"/>
          <w:szCs w:val="20"/>
          <w:lang w:eastAsia="ru-RU"/>
        </w:rPr>
        <w:t xml:space="preserve">ПУЭ </w:t>
      </w:r>
      <w:r>
        <w:rPr>
          <w:szCs w:val="24"/>
        </w:rPr>
        <w:t>– правила устройства электроустановок.</w:t>
      </w:r>
    </w:p>
    <w:p>
      <w:pPr>
        <w:jc w:val="both"/>
        <w:rPr>
          <w:szCs w:val="24"/>
        </w:rPr>
      </w:pPr>
    </w:p>
    <w:p>
      <w:pPr>
        <w:jc w:val="both"/>
        <w:rPr>
          <w:szCs w:val="24"/>
        </w:rPr>
      </w:pPr>
      <w:r>
        <w:rPr>
          <w:rFonts w:ascii="Arial" w:hAnsi="Arial" w:cs="Arial"/>
          <w:b/>
          <w:i/>
          <w:caps/>
          <w:sz w:val="20"/>
          <w:szCs w:val="20"/>
          <w:lang w:eastAsia="ru-RU"/>
        </w:rPr>
        <w:t xml:space="preserve">ПФФ </w:t>
      </w:r>
      <w:r>
        <w:rPr>
          <w:szCs w:val="24"/>
        </w:rPr>
        <w:t>– подсистема фальшпотолков и фальшполов.</w:t>
      </w:r>
    </w:p>
    <w:p>
      <w:pPr>
        <w:jc w:val="both"/>
        <w:rPr>
          <w:szCs w:val="24"/>
        </w:rPr>
      </w:pPr>
    </w:p>
    <w:p>
      <w:pPr>
        <w:jc w:val="both"/>
        <w:rPr>
          <w:szCs w:val="24"/>
        </w:rPr>
      </w:pPr>
      <w:r>
        <w:rPr>
          <w:rFonts w:ascii="Arial" w:hAnsi="Arial" w:cs="Arial"/>
          <w:b/>
          <w:i/>
          <w:caps/>
          <w:sz w:val="20"/>
          <w:szCs w:val="20"/>
          <w:lang w:eastAsia="ru-RU"/>
        </w:rPr>
        <w:t xml:space="preserve">ПШС </w:t>
      </w:r>
      <w:r>
        <w:rPr>
          <w:szCs w:val="24"/>
        </w:rPr>
        <w:t>– подсистема</w:t>
      </w:r>
      <w:r>
        <w:rPr>
          <w:iCs/>
          <w:szCs w:val="24"/>
          <w:lang w:eastAsia="ru-RU"/>
        </w:rPr>
        <w:t xml:space="preserve"> телекоммуникационных шкафов и стоек.</w:t>
      </w:r>
    </w:p>
    <w:p>
      <w:pPr>
        <w:jc w:val="both"/>
        <w:rPr>
          <w:szCs w:val="24"/>
        </w:rPr>
      </w:pPr>
    </w:p>
    <w:p>
      <w:pPr>
        <w:jc w:val="both"/>
        <w:rPr>
          <w:szCs w:val="24"/>
        </w:rPr>
      </w:pPr>
      <w:r>
        <w:rPr>
          <w:rFonts w:ascii="Arial" w:hAnsi="Arial" w:cs="Arial"/>
          <w:b/>
          <w:i/>
          <w:caps/>
          <w:sz w:val="20"/>
          <w:szCs w:val="20"/>
          <w:lang w:eastAsia="ru-RU"/>
        </w:rPr>
        <w:t xml:space="preserve">ПЭО </w:t>
      </w:r>
      <w:r>
        <w:rPr>
          <w:szCs w:val="24"/>
        </w:rPr>
        <w:t>– подсистема электрического освещения.</w:t>
      </w:r>
    </w:p>
    <w:p>
      <w:pPr>
        <w:jc w:val="both"/>
        <w:rPr>
          <w:szCs w:val="24"/>
        </w:rPr>
      </w:pPr>
    </w:p>
    <w:p>
      <w:pPr>
        <w:jc w:val="both"/>
        <w:rPr>
          <w:szCs w:val="24"/>
        </w:rPr>
      </w:pPr>
      <w:r>
        <w:rPr>
          <w:rFonts w:ascii="Arial" w:hAnsi="Arial" w:cs="Arial"/>
          <w:b/>
          <w:i/>
          <w:caps/>
          <w:sz w:val="20"/>
          <w:szCs w:val="20"/>
          <w:lang w:eastAsia="ru-RU"/>
        </w:rPr>
        <w:t xml:space="preserve">РЭС </w:t>
      </w:r>
      <w:r>
        <w:rPr>
          <w:szCs w:val="24"/>
        </w:rPr>
        <w:t xml:space="preserve">– </w:t>
      </w:r>
      <w:r>
        <w:t>радиоэлектронные средства.</w:t>
      </w:r>
    </w:p>
    <w:p>
      <w:pPr>
        <w:jc w:val="both"/>
        <w:rPr>
          <w:szCs w:val="24"/>
        </w:rPr>
      </w:pPr>
    </w:p>
    <w:p>
      <w:pPr>
        <w:jc w:val="both"/>
        <w:rPr>
          <w:szCs w:val="24"/>
        </w:rPr>
      </w:pPr>
      <w:r>
        <w:rPr>
          <w:rStyle w:val="afff1"/>
          <w:rFonts w:eastAsia="Calibri"/>
          <w:sz w:val="20"/>
          <w:szCs w:val="20"/>
        </w:rPr>
        <w:t>СБ</w:t>
      </w:r>
      <w:r>
        <w:t xml:space="preserve"> – Служба безопасности ПАО «НК «Роснефть».</w:t>
      </w:r>
    </w:p>
    <w:p>
      <w:pPr>
        <w:jc w:val="both"/>
        <w:rPr>
          <w:szCs w:val="24"/>
        </w:rPr>
      </w:pPr>
    </w:p>
    <w:p>
      <w:pPr>
        <w:jc w:val="both"/>
        <w:rPr>
          <w:szCs w:val="24"/>
        </w:rPr>
      </w:pPr>
      <w:r>
        <w:rPr>
          <w:rFonts w:ascii="Arial" w:hAnsi="Arial" w:cs="Arial"/>
          <w:b/>
          <w:i/>
          <w:caps/>
          <w:sz w:val="20"/>
          <w:szCs w:val="20"/>
          <w:lang w:eastAsia="ru-RU"/>
        </w:rPr>
        <w:t>СКС</w:t>
      </w:r>
      <w:r>
        <w:rPr>
          <w:szCs w:val="24"/>
        </w:rPr>
        <w:t xml:space="preserve"> – структурированная кабельная сеть.</w:t>
      </w:r>
    </w:p>
    <w:p>
      <w:pPr>
        <w:jc w:val="both"/>
        <w:rPr>
          <w:szCs w:val="24"/>
        </w:rPr>
      </w:pPr>
    </w:p>
    <w:p>
      <w:pPr>
        <w:jc w:val="both"/>
        <w:rPr>
          <w:szCs w:val="24"/>
        </w:rPr>
      </w:pPr>
      <w:r>
        <w:rPr>
          <w:rFonts w:ascii="Arial" w:hAnsi="Arial" w:cs="Arial"/>
          <w:b/>
          <w:i/>
          <w:caps/>
          <w:sz w:val="20"/>
          <w:szCs w:val="20"/>
          <w:lang w:eastAsia="ru-RU"/>
        </w:rPr>
        <w:t>СКУД</w:t>
      </w:r>
      <w:r>
        <w:rPr>
          <w:rFonts w:ascii="Arial" w:hAnsi="Arial" w:cs="Arial"/>
          <w:caps/>
          <w:sz w:val="20"/>
          <w:szCs w:val="20"/>
          <w:lang w:eastAsia="ru-RU"/>
        </w:rPr>
        <w:t xml:space="preserve"> </w:t>
      </w:r>
      <w:r>
        <w:rPr>
          <w:szCs w:val="24"/>
        </w:rPr>
        <w:t>– система контроля и управления доступом.</w:t>
      </w:r>
    </w:p>
    <w:p>
      <w:pPr>
        <w:jc w:val="both"/>
        <w:rPr>
          <w:szCs w:val="24"/>
        </w:rPr>
      </w:pPr>
    </w:p>
    <w:p>
      <w:pPr>
        <w:jc w:val="both"/>
        <w:rPr>
          <w:szCs w:val="24"/>
        </w:rPr>
      </w:pPr>
      <w:r>
        <w:rPr>
          <w:rFonts w:ascii="Arial" w:hAnsi="Arial" w:cs="Arial"/>
          <w:b/>
          <w:i/>
          <w:caps/>
          <w:sz w:val="20"/>
          <w:szCs w:val="20"/>
          <w:lang w:eastAsia="ru-RU"/>
        </w:rPr>
        <w:t>СМ</w:t>
      </w:r>
      <w:r>
        <w:rPr>
          <w:rFonts w:ascii="Arial" w:hAnsi="Arial" w:cs="Arial"/>
          <w:caps/>
          <w:sz w:val="20"/>
          <w:szCs w:val="20"/>
          <w:lang w:eastAsia="ru-RU"/>
        </w:rPr>
        <w:t xml:space="preserve"> </w:t>
      </w:r>
      <w:r>
        <w:rPr>
          <w:szCs w:val="24"/>
        </w:rPr>
        <w:t>– с</w:t>
      </w:r>
      <w:r>
        <w:rPr>
          <w:bCs/>
          <w:szCs w:val="24"/>
          <w:lang w:eastAsia="ru-RU"/>
        </w:rPr>
        <w:t>истема</w:t>
      </w:r>
      <w:r>
        <w:rPr>
          <w:szCs w:val="24"/>
        </w:rPr>
        <w:t xml:space="preserve"> обеспечения микроклимата.</w:t>
      </w:r>
    </w:p>
    <w:p>
      <w:pPr>
        <w:jc w:val="both"/>
        <w:rPr>
          <w:szCs w:val="24"/>
        </w:rPr>
      </w:pPr>
    </w:p>
    <w:p>
      <w:pPr>
        <w:jc w:val="both"/>
        <w:rPr>
          <w:szCs w:val="24"/>
        </w:rPr>
      </w:pPr>
      <w:r>
        <w:rPr>
          <w:rFonts w:ascii="Arial" w:hAnsi="Arial" w:cs="Arial"/>
          <w:b/>
          <w:i/>
          <w:caps/>
          <w:sz w:val="20"/>
          <w:szCs w:val="20"/>
          <w:lang w:eastAsia="ru-RU"/>
        </w:rPr>
        <w:t>СММ</w:t>
      </w:r>
      <w:r>
        <w:rPr>
          <w:rFonts w:ascii="Arial" w:hAnsi="Arial" w:cs="Arial"/>
          <w:caps/>
          <w:sz w:val="20"/>
          <w:szCs w:val="20"/>
          <w:lang w:eastAsia="ru-RU"/>
        </w:rPr>
        <w:t xml:space="preserve"> </w:t>
      </w:r>
      <w:r>
        <w:rPr>
          <w:szCs w:val="24"/>
        </w:rPr>
        <w:t>– система мониторинга микроклимата.</w:t>
      </w:r>
    </w:p>
    <w:p>
      <w:pPr>
        <w:jc w:val="both"/>
        <w:rPr>
          <w:szCs w:val="24"/>
        </w:rPr>
      </w:pPr>
    </w:p>
    <w:p>
      <w:pPr>
        <w:jc w:val="both"/>
        <w:rPr>
          <w:szCs w:val="24"/>
        </w:rPr>
      </w:pPr>
      <w:r>
        <w:rPr>
          <w:rStyle w:val="urtxtstd"/>
          <w:rFonts w:ascii="Arial" w:hAnsi="Arial" w:cs="Arial"/>
          <w:b/>
          <w:i/>
          <w:sz w:val="20"/>
          <w:szCs w:val="20"/>
        </w:rPr>
        <w:t>СОС</w:t>
      </w:r>
      <w:r>
        <w:rPr>
          <w:rStyle w:val="urtxtstd"/>
          <w:rFonts w:ascii="Arial" w:hAnsi="Arial" w:cs="Arial"/>
          <w:sz w:val="20"/>
          <w:szCs w:val="20"/>
        </w:rPr>
        <w:t xml:space="preserve"> </w:t>
      </w:r>
      <w:r>
        <w:rPr>
          <w:rStyle w:val="urtxtstd"/>
          <w:rFonts w:ascii="Arial" w:hAnsi="Arial" w:cs="Arial"/>
          <w:b/>
          <w:i/>
          <w:sz w:val="20"/>
          <w:szCs w:val="20"/>
        </w:rPr>
        <w:t xml:space="preserve">– </w:t>
      </w:r>
      <w:r>
        <w:rPr>
          <w:szCs w:val="24"/>
        </w:rPr>
        <w:t>система охранной сигнализации.</w:t>
      </w:r>
    </w:p>
    <w:p>
      <w:pPr>
        <w:jc w:val="both"/>
        <w:rPr>
          <w:szCs w:val="24"/>
        </w:rPr>
      </w:pPr>
    </w:p>
    <w:p>
      <w:pPr>
        <w:jc w:val="both"/>
        <w:rPr>
          <w:szCs w:val="24"/>
        </w:rPr>
      </w:pPr>
      <w:r>
        <w:rPr>
          <w:rFonts w:ascii="Arial" w:hAnsi="Arial" w:cs="Arial"/>
          <w:b/>
          <w:i/>
          <w:caps/>
          <w:sz w:val="20"/>
          <w:szCs w:val="20"/>
          <w:lang w:eastAsia="ru-RU"/>
        </w:rPr>
        <w:t>СОТ</w:t>
      </w:r>
      <w:r>
        <w:rPr>
          <w:rFonts w:ascii="Arial" w:hAnsi="Arial" w:cs="Arial"/>
          <w:caps/>
          <w:sz w:val="20"/>
          <w:szCs w:val="20"/>
          <w:lang w:eastAsia="ru-RU"/>
        </w:rPr>
        <w:t xml:space="preserve"> </w:t>
      </w:r>
      <w:r>
        <w:rPr>
          <w:szCs w:val="24"/>
        </w:rPr>
        <w:t>– система охранная телевизионная.</w:t>
      </w:r>
    </w:p>
    <w:p>
      <w:pPr>
        <w:jc w:val="both"/>
        <w:rPr>
          <w:szCs w:val="24"/>
        </w:rPr>
      </w:pPr>
    </w:p>
    <w:p>
      <w:pPr>
        <w:jc w:val="both"/>
        <w:rPr>
          <w:szCs w:val="24"/>
        </w:rPr>
      </w:pPr>
      <w:r>
        <w:rPr>
          <w:rFonts w:ascii="Arial" w:hAnsi="Arial" w:cs="Arial"/>
          <w:b/>
          <w:i/>
          <w:caps/>
          <w:sz w:val="20"/>
          <w:szCs w:val="20"/>
          <w:lang w:eastAsia="ru-RU"/>
        </w:rPr>
        <w:t>СТРУКТУРНОЕ ПОДРАЗДЕЛЕНИЕ (СП)</w:t>
      </w:r>
      <w:r>
        <w:rPr>
          <w:szCs w:val="24"/>
        </w:rPr>
        <w:t xml:space="preserve"> – структурное подразделение ПАО «НК «Роснефть» или Общества Группы с самостоятельными функциями, задачами и ответственностью в рамках своей компетенции, определенной Положением о структурном подразделении.</w:t>
      </w:r>
    </w:p>
    <w:p>
      <w:pPr>
        <w:jc w:val="both"/>
        <w:rPr>
          <w:szCs w:val="24"/>
        </w:rPr>
      </w:pPr>
    </w:p>
    <w:p>
      <w:pPr>
        <w:jc w:val="both"/>
        <w:rPr>
          <w:szCs w:val="24"/>
        </w:rPr>
      </w:pPr>
      <w:r>
        <w:rPr>
          <w:rFonts w:ascii="Arial" w:hAnsi="Arial" w:cs="Arial"/>
          <w:b/>
          <w:i/>
          <w:caps/>
          <w:sz w:val="20"/>
          <w:szCs w:val="20"/>
          <w:lang w:eastAsia="ru-RU"/>
        </w:rPr>
        <w:t>СЭ</w:t>
      </w:r>
      <w:r>
        <w:rPr>
          <w:rFonts w:ascii="Arial" w:hAnsi="Arial" w:cs="Arial"/>
          <w:caps/>
          <w:sz w:val="20"/>
          <w:szCs w:val="20"/>
          <w:lang w:eastAsia="ru-RU"/>
        </w:rPr>
        <w:t xml:space="preserve"> </w:t>
      </w:r>
      <w:r>
        <w:rPr>
          <w:szCs w:val="24"/>
        </w:rPr>
        <w:t xml:space="preserve">– </w:t>
      </w:r>
      <w:r>
        <w:rPr>
          <w:bCs/>
          <w:szCs w:val="24"/>
          <w:lang w:eastAsia="ru-RU"/>
        </w:rPr>
        <w:t>система электропитания.</w:t>
      </w:r>
    </w:p>
    <w:p>
      <w:pPr>
        <w:jc w:val="both"/>
        <w:rPr>
          <w:szCs w:val="24"/>
        </w:rPr>
      </w:pPr>
    </w:p>
    <w:p>
      <w:pPr>
        <w:jc w:val="both"/>
        <w:rPr>
          <w:szCs w:val="24"/>
        </w:rPr>
      </w:pPr>
      <w:r>
        <w:rPr>
          <w:rFonts w:ascii="Arial" w:hAnsi="Arial" w:cs="Arial"/>
          <w:b/>
          <w:i/>
          <w:caps/>
          <w:sz w:val="20"/>
          <w:szCs w:val="20"/>
          <w:lang w:eastAsia="ru-RU"/>
        </w:rPr>
        <w:t>УПАТС</w:t>
      </w:r>
      <w:r>
        <w:rPr>
          <w:rFonts w:ascii="Arial" w:hAnsi="Arial" w:cs="Arial"/>
          <w:caps/>
          <w:sz w:val="20"/>
          <w:szCs w:val="20"/>
          <w:lang w:eastAsia="ru-RU"/>
        </w:rPr>
        <w:t xml:space="preserve"> </w:t>
      </w:r>
      <w:r>
        <w:rPr>
          <w:szCs w:val="24"/>
        </w:rPr>
        <w:t>– учрежденческая производственная автоматическая телефонная станция.</w:t>
      </w:r>
    </w:p>
    <w:p>
      <w:pPr>
        <w:jc w:val="both"/>
      </w:pPr>
      <w:r>
        <w:rPr>
          <w:rFonts w:ascii="Arial" w:hAnsi="Arial" w:cs="Arial"/>
          <w:b/>
          <w:i/>
          <w:caps/>
          <w:sz w:val="20"/>
          <w:szCs w:val="20"/>
          <w:lang w:eastAsia="ru-RU"/>
        </w:rPr>
        <w:lastRenderedPageBreak/>
        <w:t>Центр обработки данных</w:t>
      </w:r>
      <w:r>
        <w:t xml:space="preserve"> </w:t>
      </w:r>
      <w:r>
        <w:rPr>
          <w:rFonts w:ascii="Arial" w:hAnsi="Arial" w:cs="Arial"/>
          <w:b/>
          <w:i/>
          <w:caps/>
          <w:sz w:val="20"/>
          <w:szCs w:val="20"/>
          <w:lang w:eastAsia="ru-RU"/>
        </w:rPr>
        <w:t>(ЦОД)</w:t>
      </w:r>
      <w:r>
        <w:t xml:space="preserve"> – отдельное здание или часть здания, отдельный этаж, в котором размещаются серверное и телекоммуникационное оборудование и развернуты инженерные системы для обеспечения их бесперебойного функционирования.</w:t>
      </w:r>
    </w:p>
    <w:p>
      <w:pPr>
        <w:jc w:val="both"/>
        <w:rPr>
          <w:szCs w:val="24"/>
        </w:rPr>
      </w:pPr>
    </w:p>
    <w:p>
      <w:pPr>
        <w:pStyle w:val="affb"/>
        <w:spacing w:before="0"/>
        <w:rPr>
          <w:rFonts w:ascii="Times New Roman" w:hAnsi="Times New Roman"/>
          <w:lang w:val="en-US"/>
        </w:rPr>
      </w:pPr>
      <w:r>
        <w:rPr>
          <w:rStyle w:val="afff1"/>
          <w:rFonts w:eastAsia="Calibri"/>
          <w:sz w:val="20"/>
          <w:lang w:val="en-US"/>
        </w:rPr>
        <w:t>FTP</w:t>
      </w:r>
      <w:r>
        <w:rPr>
          <w:rFonts w:ascii="Times New Roman" w:hAnsi="Times New Roman"/>
          <w:lang w:val="en-US"/>
        </w:rPr>
        <w:t xml:space="preserve"> (</w:t>
      </w:r>
      <w:r>
        <w:rPr>
          <w:rFonts w:ascii="Times New Roman" w:hAnsi="Times New Roman"/>
          <w:bCs/>
          <w:szCs w:val="22"/>
          <w:lang w:val="en-US" w:eastAsia="en-US"/>
        </w:rPr>
        <w:t>File Transfer Protocol</w:t>
      </w:r>
      <w:r>
        <w:rPr>
          <w:rFonts w:ascii="Times New Roman" w:hAnsi="Times New Roman"/>
          <w:bCs/>
          <w:caps/>
          <w:szCs w:val="22"/>
          <w:lang w:val="en-US" w:eastAsia="en-US"/>
        </w:rPr>
        <w:t>)</w:t>
      </w:r>
      <w:r>
        <w:rPr>
          <w:rFonts w:ascii="Times New Roman" w:hAnsi="Times New Roman"/>
          <w:lang w:val="en-US"/>
        </w:rPr>
        <w:t xml:space="preserve"> – </w:t>
      </w:r>
      <w:r>
        <w:rPr>
          <w:rFonts w:ascii="Times New Roman" w:hAnsi="Times New Roman"/>
        </w:rPr>
        <w:t>протокол</w:t>
      </w:r>
      <w:r>
        <w:rPr>
          <w:rFonts w:ascii="Times New Roman" w:hAnsi="Times New Roman"/>
          <w:lang w:val="en-US"/>
        </w:rPr>
        <w:t xml:space="preserve"> </w:t>
      </w:r>
      <w:r>
        <w:rPr>
          <w:rFonts w:ascii="Times New Roman" w:hAnsi="Times New Roman"/>
        </w:rPr>
        <w:t>передачи</w:t>
      </w:r>
      <w:r>
        <w:rPr>
          <w:rFonts w:ascii="Times New Roman" w:hAnsi="Times New Roman"/>
          <w:lang w:val="en-US"/>
        </w:rPr>
        <w:t xml:space="preserve"> </w:t>
      </w:r>
      <w:r>
        <w:rPr>
          <w:rFonts w:ascii="Times New Roman" w:hAnsi="Times New Roman"/>
        </w:rPr>
        <w:t>файлов</w:t>
      </w:r>
      <w:r>
        <w:rPr>
          <w:rFonts w:ascii="Times New Roman" w:hAnsi="Times New Roman"/>
          <w:lang w:val="en-US"/>
        </w:rPr>
        <w:t>.</w:t>
      </w:r>
    </w:p>
    <w:p>
      <w:pPr>
        <w:jc w:val="both"/>
        <w:rPr>
          <w:szCs w:val="24"/>
          <w:lang w:val="en-US"/>
        </w:rPr>
      </w:pPr>
    </w:p>
    <w:p>
      <w:pPr>
        <w:pStyle w:val="affb"/>
        <w:spacing w:before="0"/>
        <w:rPr>
          <w:lang w:val="en-US"/>
        </w:rPr>
      </w:pPr>
      <w:r>
        <w:rPr>
          <w:rStyle w:val="afff1"/>
          <w:rFonts w:eastAsia="Calibri"/>
          <w:sz w:val="20"/>
          <w:lang w:val="en-US"/>
        </w:rPr>
        <w:t>HTTP</w:t>
      </w:r>
      <w:r>
        <w:rPr>
          <w:rStyle w:val="afff1"/>
          <w:rFonts w:ascii="Times New Roman" w:eastAsia="Calibri" w:hAnsi="Times New Roman"/>
          <w:b w:val="0"/>
          <w:i w:val="0"/>
          <w:lang w:val="en-US"/>
        </w:rPr>
        <w:t xml:space="preserve"> </w:t>
      </w:r>
      <w:r>
        <w:rPr>
          <w:rStyle w:val="afff1"/>
          <w:rFonts w:ascii="Times New Roman" w:eastAsia="Calibri" w:hAnsi="Times New Roman"/>
          <w:b w:val="0"/>
          <w:i w:val="0"/>
          <w:szCs w:val="24"/>
          <w:lang w:val="en-US"/>
        </w:rPr>
        <w:t>(</w:t>
      </w:r>
      <w:r>
        <w:rPr>
          <w:rStyle w:val="afff1"/>
          <w:rFonts w:ascii="Times New Roman" w:eastAsia="Calibri" w:hAnsi="Times New Roman"/>
          <w:b w:val="0"/>
          <w:i w:val="0"/>
          <w:caps w:val="0"/>
          <w:szCs w:val="24"/>
          <w:lang w:val="en-US"/>
        </w:rPr>
        <w:t>Hypertext Transfer Protocol</w:t>
      </w:r>
      <w:r>
        <w:rPr>
          <w:rFonts w:ascii="Times New Roman" w:hAnsi="Times New Roman"/>
          <w:bCs/>
          <w:iCs/>
          <w:caps/>
          <w:szCs w:val="24"/>
          <w:lang w:val="en-US"/>
        </w:rPr>
        <w:t>)</w:t>
      </w:r>
      <w:r>
        <w:rPr>
          <w:rFonts w:ascii="Times New Roman" w:hAnsi="Times New Roman"/>
          <w:lang w:val="en-US"/>
        </w:rPr>
        <w:t xml:space="preserve"> – </w:t>
      </w:r>
      <w:r>
        <w:rPr>
          <w:rFonts w:ascii="Times New Roman" w:hAnsi="Times New Roman"/>
        </w:rPr>
        <w:t>протокол</w:t>
      </w:r>
      <w:r>
        <w:rPr>
          <w:rFonts w:ascii="Times New Roman" w:hAnsi="Times New Roman"/>
          <w:lang w:val="en-US"/>
        </w:rPr>
        <w:t xml:space="preserve"> </w:t>
      </w:r>
      <w:r>
        <w:rPr>
          <w:rFonts w:ascii="Times New Roman" w:hAnsi="Times New Roman"/>
        </w:rPr>
        <w:t>передачи</w:t>
      </w:r>
      <w:r>
        <w:rPr>
          <w:rFonts w:ascii="Times New Roman" w:hAnsi="Times New Roman"/>
          <w:lang w:val="en-US"/>
        </w:rPr>
        <w:t xml:space="preserve"> </w:t>
      </w:r>
      <w:r>
        <w:rPr>
          <w:rFonts w:ascii="Times New Roman" w:hAnsi="Times New Roman"/>
        </w:rPr>
        <w:t>гипертекста</w:t>
      </w:r>
      <w:r>
        <w:rPr>
          <w:rFonts w:ascii="Times New Roman" w:hAnsi="Times New Roman"/>
          <w:lang w:val="en-US"/>
        </w:rPr>
        <w:t>.</w:t>
      </w:r>
    </w:p>
    <w:p>
      <w:pPr>
        <w:jc w:val="both"/>
        <w:rPr>
          <w:szCs w:val="24"/>
          <w:lang w:val="en-US"/>
        </w:rPr>
      </w:pPr>
    </w:p>
    <w:p>
      <w:pPr>
        <w:jc w:val="both"/>
        <w:rPr>
          <w:szCs w:val="24"/>
        </w:rPr>
      </w:pPr>
      <w:r>
        <w:rPr>
          <w:rFonts w:ascii="Arial" w:hAnsi="Arial" w:cs="Arial"/>
          <w:b/>
          <w:i/>
          <w:caps/>
          <w:sz w:val="20"/>
          <w:szCs w:val="20"/>
          <w:lang w:val="en-US" w:eastAsia="ru-RU"/>
        </w:rPr>
        <w:t>IP</w:t>
      </w:r>
      <w:r>
        <w:rPr>
          <w:caps/>
          <w:sz w:val="20"/>
          <w:szCs w:val="20"/>
          <w:lang w:eastAsia="ru-RU"/>
        </w:rPr>
        <w:t xml:space="preserve"> </w:t>
      </w:r>
      <w:r>
        <w:rPr>
          <w:szCs w:val="24"/>
        </w:rPr>
        <w:t>(</w:t>
      </w:r>
      <w:r>
        <w:rPr>
          <w:szCs w:val="24"/>
          <w:lang w:val="en-US"/>
        </w:rPr>
        <w:t>Internet</w:t>
      </w:r>
      <w:r>
        <w:rPr>
          <w:szCs w:val="24"/>
        </w:rPr>
        <w:t xml:space="preserve"> </w:t>
      </w:r>
      <w:r>
        <w:rPr>
          <w:szCs w:val="24"/>
          <w:lang w:val="en-US"/>
        </w:rPr>
        <w:t>Protocol</w:t>
      </w:r>
      <w:r>
        <w:rPr>
          <w:szCs w:val="24"/>
        </w:rPr>
        <w:t xml:space="preserve">) – </w:t>
      </w:r>
      <w:r>
        <w:t>интернет протокол</w:t>
      </w:r>
      <w:r>
        <w:rPr>
          <w:szCs w:val="24"/>
        </w:rPr>
        <w:t>.</w:t>
      </w:r>
    </w:p>
    <w:p>
      <w:pPr>
        <w:jc w:val="both"/>
        <w:rPr>
          <w:szCs w:val="24"/>
        </w:rPr>
      </w:pPr>
    </w:p>
    <w:p>
      <w:pPr>
        <w:jc w:val="both"/>
        <w:rPr>
          <w:szCs w:val="24"/>
        </w:rPr>
      </w:pPr>
      <w:r>
        <w:rPr>
          <w:rFonts w:ascii="Arial" w:hAnsi="Arial" w:cs="Arial"/>
          <w:b/>
          <w:i/>
          <w:caps/>
          <w:sz w:val="20"/>
          <w:szCs w:val="20"/>
          <w:lang w:val="en-US" w:eastAsia="ru-RU"/>
        </w:rPr>
        <w:t>IPsec</w:t>
      </w:r>
      <w:r>
        <w:rPr>
          <w:rFonts w:ascii="Arial" w:hAnsi="Arial" w:cs="Arial"/>
          <w:caps/>
          <w:sz w:val="20"/>
          <w:szCs w:val="20"/>
          <w:lang w:eastAsia="ru-RU"/>
        </w:rPr>
        <w:t xml:space="preserve"> </w:t>
      </w:r>
      <w:r>
        <w:rPr>
          <w:szCs w:val="24"/>
        </w:rPr>
        <w:t>(</w:t>
      </w:r>
      <w:r>
        <w:rPr>
          <w:szCs w:val="24"/>
          <w:lang w:val="en-US"/>
        </w:rPr>
        <w:t>IP</w:t>
      </w:r>
      <w:r>
        <w:rPr>
          <w:szCs w:val="24"/>
        </w:rPr>
        <w:t xml:space="preserve"> </w:t>
      </w:r>
      <w:r>
        <w:rPr>
          <w:szCs w:val="24"/>
          <w:lang w:val="en-US"/>
        </w:rPr>
        <w:t>Security</w:t>
      </w:r>
      <w:r>
        <w:rPr>
          <w:szCs w:val="24"/>
        </w:rPr>
        <w:t xml:space="preserve">) – </w:t>
      </w:r>
      <w:r>
        <w:t>защита интернет протокола</w:t>
      </w:r>
      <w:r>
        <w:rPr>
          <w:szCs w:val="24"/>
        </w:rPr>
        <w:t>.</w:t>
      </w:r>
    </w:p>
    <w:p>
      <w:pPr>
        <w:jc w:val="both"/>
        <w:rPr>
          <w:szCs w:val="24"/>
        </w:rPr>
      </w:pPr>
    </w:p>
    <w:p>
      <w:pPr>
        <w:jc w:val="both"/>
        <w:rPr>
          <w:szCs w:val="24"/>
        </w:rPr>
      </w:pPr>
      <w:r>
        <w:rPr>
          <w:rFonts w:ascii="Arial" w:hAnsi="Arial" w:cs="Arial"/>
          <w:b/>
          <w:i/>
          <w:caps/>
          <w:sz w:val="20"/>
          <w:szCs w:val="20"/>
          <w:lang w:val="en-US" w:eastAsia="ru-RU"/>
        </w:rPr>
        <w:t>L</w:t>
      </w:r>
      <w:r>
        <w:rPr>
          <w:rFonts w:ascii="Arial" w:hAnsi="Arial" w:cs="Arial"/>
          <w:b/>
          <w:i/>
          <w:caps/>
          <w:sz w:val="20"/>
          <w:szCs w:val="20"/>
          <w:lang w:eastAsia="ru-RU"/>
        </w:rPr>
        <w:t>2 (</w:t>
      </w:r>
      <w:r>
        <w:rPr>
          <w:rFonts w:ascii="Arial" w:hAnsi="Arial" w:cs="Arial"/>
          <w:b/>
          <w:i/>
          <w:caps/>
          <w:sz w:val="20"/>
          <w:szCs w:val="20"/>
          <w:lang w:val="en-US" w:eastAsia="ru-RU"/>
        </w:rPr>
        <w:t>L</w:t>
      </w:r>
      <w:r>
        <w:rPr>
          <w:rFonts w:ascii="Arial" w:hAnsi="Arial" w:cs="Arial"/>
          <w:b/>
          <w:i/>
          <w:caps/>
          <w:sz w:val="20"/>
          <w:szCs w:val="20"/>
          <w:lang w:eastAsia="ru-RU"/>
        </w:rPr>
        <w:t xml:space="preserve">3) </w:t>
      </w:r>
      <w:r>
        <w:rPr>
          <w:caps/>
          <w:szCs w:val="24"/>
          <w:lang w:eastAsia="ru-RU"/>
        </w:rPr>
        <w:t>(</w:t>
      </w:r>
      <w:r>
        <w:rPr>
          <w:szCs w:val="24"/>
          <w:lang w:val="en-US"/>
        </w:rPr>
        <w:t>Layer</w:t>
      </w:r>
      <w:r>
        <w:rPr>
          <w:szCs w:val="24"/>
        </w:rPr>
        <w:t xml:space="preserve"> 2 (</w:t>
      </w:r>
      <w:r>
        <w:rPr>
          <w:szCs w:val="24"/>
          <w:lang w:val="en-US"/>
        </w:rPr>
        <w:t>Layer</w:t>
      </w:r>
      <w:r>
        <w:rPr>
          <w:szCs w:val="24"/>
        </w:rPr>
        <w:t xml:space="preserve"> 3)) – </w:t>
      </w:r>
      <w:r>
        <w:t>второй уровень (третий уровень).</w:t>
      </w:r>
    </w:p>
    <w:p>
      <w:pPr>
        <w:jc w:val="both"/>
        <w:rPr>
          <w:szCs w:val="24"/>
        </w:rPr>
      </w:pPr>
    </w:p>
    <w:p>
      <w:pPr>
        <w:jc w:val="both"/>
      </w:pPr>
      <w:r>
        <w:rPr>
          <w:rFonts w:ascii="Arial" w:hAnsi="Arial" w:cs="Arial"/>
          <w:b/>
          <w:i/>
          <w:caps/>
          <w:sz w:val="20"/>
          <w:szCs w:val="20"/>
          <w:lang w:val="en-US" w:eastAsia="ru-RU"/>
        </w:rPr>
        <w:t>L</w:t>
      </w:r>
      <w:r>
        <w:rPr>
          <w:rFonts w:ascii="Arial" w:hAnsi="Arial" w:cs="Arial"/>
          <w:b/>
          <w:i/>
          <w:caps/>
          <w:sz w:val="20"/>
          <w:szCs w:val="20"/>
          <w:lang w:eastAsia="ru-RU"/>
        </w:rPr>
        <w:t>2</w:t>
      </w:r>
      <w:r>
        <w:rPr>
          <w:rFonts w:ascii="Arial" w:hAnsi="Arial" w:cs="Arial"/>
          <w:b/>
          <w:i/>
          <w:caps/>
          <w:sz w:val="20"/>
          <w:szCs w:val="20"/>
          <w:lang w:val="en-US" w:eastAsia="ru-RU"/>
        </w:rPr>
        <w:t>TP</w:t>
      </w:r>
      <w:r>
        <w:rPr>
          <w:rFonts w:ascii="Arial" w:hAnsi="Arial" w:cs="Arial"/>
          <w:b/>
          <w:i/>
          <w:caps/>
          <w:sz w:val="20"/>
          <w:szCs w:val="20"/>
          <w:lang w:eastAsia="ru-RU"/>
        </w:rPr>
        <w:t xml:space="preserve"> (</w:t>
      </w:r>
      <w:r>
        <w:rPr>
          <w:rFonts w:ascii="Arial" w:hAnsi="Arial" w:cs="Arial"/>
          <w:b/>
          <w:i/>
          <w:caps/>
          <w:sz w:val="20"/>
          <w:szCs w:val="20"/>
          <w:lang w:val="en-US" w:eastAsia="ru-RU"/>
        </w:rPr>
        <w:t>L</w:t>
      </w:r>
      <w:r>
        <w:rPr>
          <w:rFonts w:ascii="Arial" w:hAnsi="Arial" w:cs="Arial"/>
          <w:b/>
          <w:i/>
          <w:caps/>
          <w:sz w:val="20"/>
          <w:szCs w:val="20"/>
          <w:lang w:eastAsia="ru-RU"/>
        </w:rPr>
        <w:t>3</w:t>
      </w:r>
      <w:r>
        <w:rPr>
          <w:rFonts w:ascii="Arial" w:hAnsi="Arial" w:cs="Arial"/>
          <w:b/>
          <w:i/>
          <w:caps/>
          <w:sz w:val="20"/>
          <w:szCs w:val="20"/>
          <w:lang w:val="en-US" w:eastAsia="ru-RU"/>
        </w:rPr>
        <w:t>TP</w:t>
      </w:r>
      <w:r>
        <w:rPr>
          <w:rFonts w:ascii="Arial" w:hAnsi="Arial" w:cs="Arial"/>
          <w:b/>
          <w:i/>
          <w:caps/>
          <w:sz w:val="20"/>
          <w:szCs w:val="20"/>
          <w:lang w:eastAsia="ru-RU"/>
        </w:rPr>
        <w:t xml:space="preserve">) </w:t>
      </w:r>
      <w:r>
        <w:rPr>
          <w:szCs w:val="24"/>
        </w:rPr>
        <w:t>(</w:t>
      </w:r>
      <w:r>
        <w:rPr>
          <w:szCs w:val="24"/>
          <w:lang w:val="en-US"/>
        </w:rPr>
        <w:t>Layer</w:t>
      </w:r>
      <w:r>
        <w:rPr>
          <w:szCs w:val="24"/>
        </w:rPr>
        <w:t xml:space="preserve"> 2 </w:t>
      </w:r>
      <w:r>
        <w:rPr>
          <w:szCs w:val="24"/>
          <w:lang w:val="en-US"/>
        </w:rPr>
        <w:t>Tunneling</w:t>
      </w:r>
      <w:r>
        <w:rPr>
          <w:szCs w:val="24"/>
        </w:rPr>
        <w:t xml:space="preserve"> </w:t>
      </w:r>
      <w:r>
        <w:rPr>
          <w:szCs w:val="24"/>
          <w:lang w:val="en-US"/>
        </w:rPr>
        <w:t>Protocol</w:t>
      </w:r>
      <w:r>
        <w:rPr>
          <w:szCs w:val="24"/>
        </w:rPr>
        <w:t xml:space="preserve"> (</w:t>
      </w:r>
      <w:r>
        <w:rPr>
          <w:szCs w:val="24"/>
          <w:lang w:val="en-US"/>
        </w:rPr>
        <w:t>Layer</w:t>
      </w:r>
      <w:r>
        <w:rPr>
          <w:szCs w:val="24"/>
        </w:rPr>
        <w:t xml:space="preserve"> 3 </w:t>
      </w:r>
      <w:r>
        <w:rPr>
          <w:szCs w:val="24"/>
          <w:lang w:val="en-US"/>
        </w:rPr>
        <w:t>Tunneling</w:t>
      </w:r>
      <w:r>
        <w:rPr>
          <w:szCs w:val="24"/>
        </w:rPr>
        <w:t xml:space="preserve"> </w:t>
      </w:r>
      <w:r>
        <w:rPr>
          <w:szCs w:val="24"/>
          <w:lang w:val="en-US"/>
        </w:rPr>
        <w:t>Protocol</w:t>
      </w:r>
      <w:r>
        <w:rPr>
          <w:szCs w:val="24"/>
        </w:rPr>
        <w:t xml:space="preserve">)) </w:t>
      </w:r>
      <w:r>
        <w:t>– протокол туннелирования второго уровня (протокол туннелирования третьего уровня).</w:t>
      </w:r>
    </w:p>
    <w:p>
      <w:pPr>
        <w:jc w:val="both"/>
        <w:rPr>
          <w:szCs w:val="24"/>
        </w:rPr>
      </w:pPr>
    </w:p>
    <w:p>
      <w:pPr>
        <w:jc w:val="both"/>
        <w:rPr>
          <w:szCs w:val="24"/>
        </w:rPr>
      </w:pPr>
      <w:r>
        <w:rPr>
          <w:rFonts w:ascii="Arial" w:hAnsi="Arial" w:cs="Arial"/>
          <w:b/>
          <w:i/>
          <w:sz w:val="20"/>
          <w:szCs w:val="20"/>
          <w:lang w:val="en-US"/>
        </w:rPr>
        <w:t>PDH</w:t>
      </w:r>
      <w:r>
        <w:rPr>
          <w:szCs w:val="24"/>
        </w:rPr>
        <w:t xml:space="preserve"> (</w:t>
      </w:r>
      <w:r>
        <w:rPr>
          <w:szCs w:val="24"/>
          <w:lang w:val="en-US"/>
        </w:rPr>
        <w:t>Plesiochronous</w:t>
      </w:r>
      <w:r>
        <w:rPr>
          <w:szCs w:val="24"/>
        </w:rPr>
        <w:t xml:space="preserve"> </w:t>
      </w:r>
      <w:r>
        <w:rPr>
          <w:szCs w:val="24"/>
          <w:lang w:val="en-US"/>
        </w:rPr>
        <w:t>digital</w:t>
      </w:r>
      <w:r>
        <w:rPr>
          <w:szCs w:val="24"/>
        </w:rPr>
        <w:t xml:space="preserve"> </w:t>
      </w:r>
      <w:r>
        <w:rPr>
          <w:szCs w:val="24"/>
          <w:lang w:val="en-US"/>
        </w:rPr>
        <w:t>hierarchy</w:t>
      </w:r>
      <w:r>
        <w:rPr>
          <w:szCs w:val="24"/>
        </w:rPr>
        <w:t xml:space="preserve">) </w:t>
      </w:r>
      <w:r>
        <w:t xml:space="preserve">– </w:t>
      </w:r>
      <w:r>
        <w:rPr>
          <w:szCs w:val="24"/>
        </w:rPr>
        <w:t>плезиохронная цифровая иерархия.</w:t>
      </w:r>
    </w:p>
    <w:p>
      <w:pPr>
        <w:jc w:val="both"/>
        <w:rPr>
          <w:szCs w:val="24"/>
        </w:rPr>
      </w:pPr>
    </w:p>
    <w:p>
      <w:pPr>
        <w:pStyle w:val="affb"/>
        <w:spacing w:before="0"/>
        <w:rPr>
          <w:rFonts w:ascii="Times New Roman" w:hAnsi="Times New Roman"/>
          <w:szCs w:val="22"/>
          <w:lang w:eastAsia="en-US"/>
        </w:rPr>
      </w:pPr>
      <w:r>
        <w:rPr>
          <w:rStyle w:val="afff1"/>
          <w:rFonts w:eastAsia="Calibri"/>
          <w:sz w:val="20"/>
          <w:lang w:val="en-US"/>
        </w:rPr>
        <w:t>POP</w:t>
      </w:r>
      <w:r>
        <w:rPr>
          <w:rStyle w:val="afff1"/>
          <w:rFonts w:eastAsia="Calibri"/>
          <w:sz w:val="20"/>
        </w:rPr>
        <w:t>3</w:t>
      </w:r>
      <w:r>
        <w:rPr>
          <w:szCs w:val="24"/>
        </w:rPr>
        <w:t xml:space="preserve"> </w:t>
      </w:r>
      <w:r>
        <w:rPr>
          <w:rFonts w:ascii="Times New Roman" w:hAnsi="Times New Roman"/>
          <w:szCs w:val="24"/>
        </w:rPr>
        <w:t>(</w:t>
      </w:r>
      <w:r>
        <w:rPr>
          <w:rFonts w:ascii="Times New Roman" w:hAnsi="Times New Roman"/>
          <w:szCs w:val="24"/>
          <w:lang w:val="en-US"/>
        </w:rPr>
        <w:t>Post</w:t>
      </w:r>
      <w:r>
        <w:rPr>
          <w:rFonts w:ascii="Times New Roman" w:hAnsi="Times New Roman"/>
          <w:szCs w:val="24"/>
        </w:rPr>
        <w:t xml:space="preserve"> </w:t>
      </w:r>
      <w:r>
        <w:rPr>
          <w:rFonts w:ascii="Times New Roman" w:hAnsi="Times New Roman"/>
          <w:szCs w:val="24"/>
          <w:lang w:val="en-US"/>
        </w:rPr>
        <w:t>Office</w:t>
      </w:r>
      <w:r>
        <w:rPr>
          <w:rFonts w:ascii="Times New Roman" w:hAnsi="Times New Roman"/>
          <w:szCs w:val="24"/>
        </w:rPr>
        <w:t xml:space="preserve"> </w:t>
      </w:r>
      <w:r>
        <w:rPr>
          <w:rFonts w:ascii="Times New Roman" w:hAnsi="Times New Roman"/>
          <w:szCs w:val="24"/>
          <w:lang w:val="en-US"/>
        </w:rPr>
        <w:t>Protocol</w:t>
      </w:r>
      <w:r>
        <w:rPr>
          <w:rFonts w:ascii="Times New Roman" w:hAnsi="Times New Roman"/>
          <w:szCs w:val="24"/>
        </w:rPr>
        <w:t xml:space="preserve"> </w:t>
      </w:r>
      <w:r>
        <w:rPr>
          <w:rFonts w:ascii="Times New Roman" w:hAnsi="Times New Roman"/>
          <w:szCs w:val="24"/>
          <w:lang w:val="en-US"/>
        </w:rPr>
        <w:t>Version</w:t>
      </w:r>
      <w:r>
        <w:rPr>
          <w:rFonts w:ascii="Times New Roman" w:hAnsi="Times New Roman"/>
          <w:szCs w:val="24"/>
        </w:rPr>
        <w:t xml:space="preserve"> 3) – </w:t>
      </w:r>
      <w:r>
        <w:rPr>
          <w:rFonts w:ascii="Times New Roman" w:hAnsi="Times New Roman"/>
          <w:szCs w:val="22"/>
          <w:lang w:eastAsia="en-US"/>
        </w:rPr>
        <w:t>протокол получения электронной почты, версия 3.</w:t>
      </w:r>
    </w:p>
    <w:p>
      <w:pPr>
        <w:jc w:val="both"/>
        <w:rPr>
          <w:szCs w:val="24"/>
        </w:rPr>
      </w:pPr>
    </w:p>
    <w:p>
      <w:pPr>
        <w:jc w:val="both"/>
        <w:rPr>
          <w:szCs w:val="24"/>
          <w:lang w:val="en-US"/>
        </w:rPr>
      </w:pPr>
      <w:r>
        <w:rPr>
          <w:rFonts w:ascii="Arial" w:hAnsi="Arial" w:cs="Arial"/>
          <w:b/>
          <w:i/>
          <w:caps/>
          <w:sz w:val="20"/>
          <w:szCs w:val="20"/>
          <w:lang w:val="en-US" w:eastAsia="ru-RU"/>
        </w:rPr>
        <w:t>Q</w:t>
      </w:r>
      <w:r>
        <w:rPr>
          <w:rFonts w:ascii="Arial" w:hAnsi="Arial" w:cs="Arial"/>
          <w:b/>
          <w:i/>
          <w:sz w:val="20"/>
          <w:szCs w:val="20"/>
          <w:lang w:val="en-US" w:eastAsia="ru-RU"/>
        </w:rPr>
        <w:t>o</w:t>
      </w:r>
      <w:r>
        <w:rPr>
          <w:rFonts w:ascii="Arial" w:hAnsi="Arial" w:cs="Arial"/>
          <w:b/>
          <w:i/>
          <w:caps/>
          <w:sz w:val="20"/>
          <w:szCs w:val="20"/>
          <w:lang w:val="en-US" w:eastAsia="ru-RU"/>
        </w:rPr>
        <w:t xml:space="preserve">S </w:t>
      </w:r>
      <w:r>
        <w:rPr>
          <w:szCs w:val="24"/>
          <w:lang w:val="en-US"/>
        </w:rPr>
        <w:t xml:space="preserve">(Quality of Service) – </w:t>
      </w:r>
      <w:r>
        <w:t>качество</w:t>
      </w:r>
      <w:r>
        <w:rPr>
          <w:lang w:val="en-US"/>
        </w:rPr>
        <w:t xml:space="preserve"> </w:t>
      </w:r>
      <w:r>
        <w:t>обслуживания</w:t>
      </w:r>
      <w:r>
        <w:rPr>
          <w:szCs w:val="24"/>
          <w:lang w:val="en-US"/>
        </w:rPr>
        <w:t>.</w:t>
      </w:r>
    </w:p>
    <w:p>
      <w:pPr>
        <w:jc w:val="both"/>
        <w:rPr>
          <w:szCs w:val="24"/>
          <w:lang w:val="en-US"/>
        </w:rPr>
      </w:pPr>
    </w:p>
    <w:p>
      <w:pPr>
        <w:jc w:val="both"/>
        <w:rPr>
          <w:szCs w:val="24"/>
          <w:lang w:val="en-US"/>
        </w:rPr>
      </w:pPr>
      <w:r>
        <w:rPr>
          <w:rFonts w:ascii="Arial" w:hAnsi="Arial" w:cs="Arial"/>
          <w:b/>
          <w:i/>
          <w:sz w:val="20"/>
          <w:szCs w:val="20"/>
          <w:lang w:val="en-US"/>
        </w:rPr>
        <w:t>SDH</w:t>
      </w:r>
      <w:r>
        <w:rPr>
          <w:szCs w:val="24"/>
          <w:lang w:val="en-US"/>
        </w:rPr>
        <w:t xml:space="preserve"> (Synchronous digital hierarchy) – </w:t>
      </w:r>
      <w:r>
        <w:rPr>
          <w:szCs w:val="24"/>
        </w:rPr>
        <w:t>синхронная</w:t>
      </w:r>
      <w:r>
        <w:rPr>
          <w:szCs w:val="24"/>
          <w:lang w:val="en-US"/>
        </w:rPr>
        <w:t xml:space="preserve"> </w:t>
      </w:r>
      <w:r>
        <w:rPr>
          <w:szCs w:val="24"/>
        </w:rPr>
        <w:t>цифровая</w:t>
      </w:r>
      <w:r>
        <w:rPr>
          <w:szCs w:val="24"/>
          <w:lang w:val="en-US"/>
        </w:rPr>
        <w:t xml:space="preserve"> </w:t>
      </w:r>
      <w:r>
        <w:rPr>
          <w:szCs w:val="24"/>
        </w:rPr>
        <w:t>иерархия</w:t>
      </w:r>
      <w:r>
        <w:rPr>
          <w:szCs w:val="24"/>
          <w:lang w:val="en-US"/>
        </w:rPr>
        <w:t>.</w:t>
      </w:r>
    </w:p>
    <w:p>
      <w:pPr>
        <w:jc w:val="both"/>
        <w:rPr>
          <w:szCs w:val="24"/>
          <w:lang w:val="en-US"/>
        </w:rPr>
      </w:pPr>
    </w:p>
    <w:p>
      <w:pPr>
        <w:jc w:val="both"/>
        <w:rPr>
          <w:szCs w:val="24"/>
          <w:lang w:val="en-US"/>
        </w:rPr>
      </w:pPr>
      <w:r>
        <w:rPr>
          <w:rFonts w:ascii="Arial" w:hAnsi="Arial" w:cs="Arial"/>
          <w:b/>
          <w:i/>
          <w:caps/>
          <w:sz w:val="20"/>
          <w:szCs w:val="20"/>
          <w:lang w:val="en-US" w:eastAsia="ru-RU"/>
        </w:rPr>
        <w:t xml:space="preserve">SLA </w:t>
      </w:r>
      <w:r>
        <w:rPr>
          <w:szCs w:val="24"/>
          <w:lang w:val="en-US"/>
        </w:rPr>
        <w:t xml:space="preserve">(Service Level Agreement) </w:t>
      </w:r>
      <w:r>
        <w:rPr>
          <w:lang w:val="en-US"/>
        </w:rPr>
        <w:t xml:space="preserve">– </w:t>
      </w:r>
      <w:r>
        <w:rPr>
          <w:szCs w:val="24"/>
          <w:lang w:val="en-US"/>
        </w:rPr>
        <w:t>c</w:t>
      </w:r>
      <w:r>
        <w:rPr>
          <w:szCs w:val="24"/>
        </w:rPr>
        <w:t>оглашение</w:t>
      </w:r>
      <w:r>
        <w:rPr>
          <w:szCs w:val="24"/>
          <w:lang w:val="en-US"/>
        </w:rPr>
        <w:t xml:space="preserve"> </w:t>
      </w:r>
      <w:r>
        <w:rPr>
          <w:szCs w:val="24"/>
        </w:rPr>
        <w:t>об</w:t>
      </w:r>
      <w:r>
        <w:rPr>
          <w:szCs w:val="24"/>
          <w:lang w:val="en-US"/>
        </w:rPr>
        <w:t xml:space="preserve"> </w:t>
      </w:r>
      <w:r>
        <w:rPr>
          <w:szCs w:val="24"/>
        </w:rPr>
        <w:t>уровне</w:t>
      </w:r>
      <w:r>
        <w:rPr>
          <w:szCs w:val="24"/>
          <w:lang w:val="en-US"/>
        </w:rPr>
        <w:t xml:space="preserve"> </w:t>
      </w:r>
      <w:r>
        <w:rPr>
          <w:szCs w:val="24"/>
        </w:rPr>
        <w:t>обслуживания</w:t>
      </w:r>
      <w:r>
        <w:rPr>
          <w:szCs w:val="24"/>
          <w:lang w:val="en-US"/>
        </w:rPr>
        <w:t>).</w:t>
      </w:r>
    </w:p>
    <w:p>
      <w:pPr>
        <w:jc w:val="both"/>
        <w:rPr>
          <w:szCs w:val="24"/>
          <w:lang w:val="en-US"/>
        </w:rPr>
      </w:pPr>
    </w:p>
    <w:p>
      <w:pPr>
        <w:jc w:val="both"/>
        <w:rPr>
          <w:szCs w:val="24"/>
          <w:lang w:val="en-US"/>
        </w:rPr>
      </w:pPr>
      <w:r>
        <w:rPr>
          <w:rFonts w:ascii="Arial" w:hAnsi="Arial" w:cs="Arial"/>
          <w:b/>
          <w:i/>
          <w:caps/>
          <w:sz w:val="20"/>
          <w:szCs w:val="20"/>
          <w:lang w:val="en-US" w:eastAsia="ru-RU"/>
        </w:rPr>
        <w:t xml:space="preserve">SMS </w:t>
      </w:r>
      <w:r>
        <w:rPr>
          <w:szCs w:val="24"/>
          <w:lang w:val="en-US"/>
        </w:rPr>
        <w:t>(Short Message Service)</w:t>
      </w:r>
      <w:r>
        <w:rPr>
          <w:lang w:val="en-US"/>
        </w:rPr>
        <w:t xml:space="preserve"> – </w:t>
      </w:r>
      <w:r>
        <w:t>служба</w:t>
      </w:r>
      <w:r>
        <w:rPr>
          <w:lang w:val="en-US"/>
        </w:rPr>
        <w:t xml:space="preserve"> </w:t>
      </w:r>
      <w:r>
        <w:t>коротких</w:t>
      </w:r>
      <w:r>
        <w:rPr>
          <w:lang w:val="en-US"/>
        </w:rPr>
        <w:t xml:space="preserve"> </w:t>
      </w:r>
      <w:r>
        <w:t>сообщений</w:t>
      </w:r>
      <w:r>
        <w:rPr>
          <w:lang w:val="en-US"/>
        </w:rPr>
        <w:t>.</w:t>
      </w:r>
    </w:p>
    <w:p>
      <w:pPr>
        <w:jc w:val="both"/>
        <w:rPr>
          <w:szCs w:val="24"/>
          <w:lang w:val="en-US"/>
        </w:rPr>
      </w:pPr>
    </w:p>
    <w:p>
      <w:pPr>
        <w:pStyle w:val="affb"/>
        <w:spacing w:before="0"/>
        <w:rPr>
          <w:rFonts w:ascii="Times New Roman" w:hAnsi="Times New Roman"/>
          <w:szCs w:val="22"/>
          <w:lang w:val="en-US" w:eastAsia="en-US"/>
        </w:rPr>
      </w:pPr>
      <w:r>
        <w:rPr>
          <w:rStyle w:val="afff1"/>
          <w:rFonts w:eastAsia="Calibri"/>
          <w:sz w:val="20"/>
          <w:lang w:val="en-US"/>
        </w:rPr>
        <w:t>UDP</w:t>
      </w:r>
      <w:r>
        <w:rPr>
          <w:sz w:val="20"/>
          <w:lang w:val="en-US"/>
        </w:rPr>
        <w:t xml:space="preserve"> </w:t>
      </w:r>
      <w:r>
        <w:rPr>
          <w:rFonts w:ascii="Times New Roman" w:hAnsi="Times New Roman"/>
          <w:lang w:val="en-US"/>
        </w:rPr>
        <w:t xml:space="preserve">(User Datagram Protocol) – </w:t>
      </w:r>
      <w:r>
        <w:rPr>
          <w:rFonts w:ascii="Times New Roman" w:hAnsi="Times New Roman"/>
          <w:szCs w:val="22"/>
          <w:lang w:eastAsia="en-US"/>
        </w:rPr>
        <w:t>протокол</w:t>
      </w:r>
      <w:r>
        <w:rPr>
          <w:rFonts w:ascii="Times New Roman" w:hAnsi="Times New Roman"/>
          <w:szCs w:val="22"/>
          <w:lang w:val="en-US" w:eastAsia="en-US"/>
        </w:rPr>
        <w:t xml:space="preserve"> </w:t>
      </w:r>
      <w:r>
        <w:rPr>
          <w:rFonts w:ascii="Times New Roman" w:hAnsi="Times New Roman"/>
          <w:szCs w:val="22"/>
          <w:lang w:eastAsia="en-US"/>
        </w:rPr>
        <w:t>датаграмм</w:t>
      </w:r>
      <w:r>
        <w:rPr>
          <w:rFonts w:ascii="Times New Roman" w:hAnsi="Times New Roman"/>
          <w:szCs w:val="22"/>
          <w:lang w:val="en-US" w:eastAsia="en-US"/>
        </w:rPr>
        <w:t xml:space="preserve"> </w:t>
      </w:r>
      <w:r>
        <w:rPr>
          <w:rFonts w:ascii="Times New Roman" w:hAnsi="Times New Roman"/>
          <w:szCs w:val="22"/>
          <w:lang w:eastAsia="en-US"/>
        </w:rPr>
        <w:t>клиента</w:t>
      </w:r>
      <w:r>
        <w:rPr>
          <w:rFonts w:ascii="Times New Roman" w:hAnsi="Times New Roman"/>
          <w:szCs w:val="22"/>
          <w:lang w:val="en-US" w:eastAsia="en-US"/>
        </w:rPr>
        <w:t>.</w:t>
      </w:r>
    </w:p>
    <w:p>
      <w:pPr>
        <w:jc w:val="both"/>
        <w:rPr>
          <w:szCs w:val="24"/>
          <w:lang w:val="en-US"/>
        </w:rPr>
      </w:pPr>
    </w:p>
    <w:p>
      <w:pPr>
        <w:jc w:val="both"/>
        <w:rPr>
          <w:szCs w:val="24"/>
          <w:lang w:val="en-US"/>
        </w:rPr>
      </w:pPr>
      <w:r>
        <w:rPr>
          <w:rFonts w:ascii="Arial" w:hAnsi="Arial" w:cs="Arial"/>
          <w:b/>
          <w:i/>
          <w:caps/>
          <w:sz w:val="20"/>
          <w:szCs w:val="20"/>
          <w:lang w:val="en-US" w:eastAsia="ru-RU"/>
        </w:rPr>
        <w:t xml:space="preserve">VLAN </w:t>
      </w:r>
      <w:r>
        <w:rPr>
          <w:szCs w:val="24"/>
          <w:lang w:val="en-US"/>
        </w:rPr>
        <w:t xml:space="preserve">(Virtual Local Area Network) – </w:t>
      </w:r>
      <w:r>
        <w:t>виртуальная</w:t>
      </w:r>
      <w:r>
        <w:rPr>
          <w:lang w:val="en-US"/>
        </w:rPr>
        <w:t xml:space="preserve"> </w:t>
      </w:r>
      <w:r>
        <w:t>локальная</w:t>
      </w:r>
      <w:r>
        <w:rPr>
          <w:lang w:val="en-US"/>
        </w:rPr>
        <w:t xml:space="preserve"> </w:t>
      </w:r>
      <w:r>
        <w:t>вычислительная</w:t>
      </w:r>
      <w:r>
        <w:rPr>
          <w:lang w:val="en-US"/>
        </w:rPr>
        <w:t xml:space="preserve"> </w:t>
      </w:r>
      <w:r>
        <w:t>сеть</w:t>
      </w:r>
      <w:r>
        <w:rPr>
          <w:szCs w:val="24"/>
          <w:lang w:val="en-US"/>
        </w:rPr>
        <w:t>.</w:t>
      </w:r>
    </w:p>
    <w:p>
      <w:pPr>
        <w:jc w:val="both"/>
        <w:rPr>
          <w:szCs w:val="24"/>
          <w:lang w:val="en-US"/>
        </w:rPr>
      </w:pPr>
    </w:p>
    <w:p>
      <w:pPr>
        <w:jc w:val="both"/>
        <w:rPr>
          <w:szCs w:val="24"/>
          <w:lang w:val="en-US"/>
        </w:rPr>
      </w:pPr>
      <w:r>
        <w:rPr>
          <w:rFonts w:ascii="Arial" w:hAnsi="Arial" w:cs="Arial"/>
          <w:b/>
          <w:i/>
          <w:caps/>
          <w:sz w:val="20"/>
          <w:szCs w:val="20"/>
          <w:lang w:val="en-US" w:eastAsia="ru-RU"/>
        </w:rPr>
        <w:t xml:space="preserve">VPN </w:t>
      </w:r>
      <w:r>
        <w:rPr>
          <w:szCs w:val="24"/>
          <w:lang w:val="en-US"/>
        </w:rPr>
        <w:t xml:space="preserve">(Virtual Private Network) – </w:t>
      </w:r>
      <w:r>
        <w:t>виртуальная</w:t>
      </w:r>
      <w:r>
        <w:rPr>
          <w:lang w:val="en-US"/>
        </w:rPr>
        <w:t xml:space="preserve"> </w:t>
      </w:r>
      <w:r>
        <w:t>частная</w:t>
      </w:r>
      <w:r>
        <w:rPr>
          <w:lang w:val="en-US"/>
        </w:rPr>
        <w:t xml:space="preserve"> </w:t>
      </w:r>
      <w:r>
        <w:t>сеть</w:t>
      </w:r>
      <w:r>
        <w:rPr>
          <w:szCs w:val="24"/>
          <w:lang w:val="en-US"/>
        </w:rPr>
        <w:t>.</w:t>
      </w:r>
    </w:p>
    <w:p>
      <w:pPr>
        <w:jc w:val="both"/>
        <w:rPr>
          <w:szCs w:val="24"/>
          <w:lang w:val="en-US"/>
        </w:rPr>
      </w:pPr>
    </w:p>
    <w:p>
      <w:pPr>
        <w:jc w:val="both"/>
        <w:rPr>
          <w:szCs w:val="24"/>
          <w:lang w:val="en-US"/>
        </w:rPr>
      </w:pPr>
      <w:r>
        <w:rPr>
          <w:rFonts w:ascii="Arial" w:hAnsi="Arial" w:cs="Arial"/>
          <w:b/>
          <w:i/>
          <w:caps/>
          <w:sz w:val="20"/>
          <w:szCs w:val="20"/>
          <w:lang w:val="en-US" w:eastAsia="ru-RU"/>
        </w:rPr>
        <w:t>W</w:t>
      </w:r>
      <w:r>
        <w:rPr>
          <w:rFonts w:ascii="Arial" w:hAnsi="Arial" w:cs="Arial"/>
          <w:b/>
          <w:i/>
          <w:sz w:val="20"/>
          <w:szCs w:val="20"/>
          <w:lang w:val="en-US" w:eastAsia="ru-RU"/>
        </w:rPr>
        <w:t>i</w:t>
      </w:r>
      <w:r>
        <w:rPr>
          <w:rFonts w:ascii="Arial" w:hAnsi="Arial" w:cs="Arial"/>
          <w:b/>
          <w:i/>
          <w:caps/>
          <w:sz w:val="20"/>
          <w:szCs w:val="20"/>
          <w:lang w:val="en-US" w:eastAsia="ru-RU"/>
        </w:rPr>
        <w:t>-F</w:t>
      </w:r>
      <w:r>
        <w:rPr>
          <w:rFonts w:ascii="Arial" w:hAnsi="Arial" w:cs="Arial"/>
          <w:b/>
          <w:i/>
          <w:sz w:val="20"/>
          <w:szCs w:val="20"/>
          <w:lang w:val="en-US" w:eastAsia="ru-RU"/>
        </w:rPr>
        <w:t>i</w:t>
      </w:r>
      <w:r>
        <w:rPr>
          <w:rFonts w:ascii="Arial" w:hAnsi="Arial" w:cs="Arial"/>
          <w:b/>
          <w:i/>
          <w:caps/>
          <w:sz w:val="20"/>
          <w:szCs w:val="20"/>
          <w:lang w:val="en-US" w:eastAsia="ru-RU"/>
        </w:rPr>
        <w:t xml:space="preserve"> </w:t>
      </w:r>
      <w:r>
        <w:rPr>
          <w:szCs w:val="24"/>
          <w:lang w:val="en-US"/>
        </w:rPr>
        <w:t xml:space="preserve">– </w:t>
      </w:r>
      <w:r>
        <w:rPr>
          <w:szCs w:val="24"/>
        </w:rPr>
        <w:t>торговая</w:t>
      </w:r>
      <w:r>
        <w:rPr>
          <w:szCs w:val="24"/>
          <w:lang w:val="en-US"/>
        </w:rPr>
        <w:t xml:space="preserve"> </w:t>
      </w:r>
      <w:r>
        <w:rPr>
          <w:szCs w:val="24"/>
        </w:rPr>
        <w:t>марка</w:t>
      </w:r>
      <w:r>
        <w:rPr>
          <w:szCs w:val="24"/>
          <w:lang w:val="en-US"/>
        </w:rPr>
        <w:t xml:space="preserve"> Wi-Fi Alliance </w:t>
      </w:r>
      <w:r>
        <w:rPr>
          <w:szCs w:val="24"/>
        </w:rPr>
        <w:t>беспроводных</w:t>
      </w:r>
      <w:r>
        <w:rPr>
          <w:szCs w:val="24"/>
          <w:lang w:val="en-US"/>
        </w:rPr>
        <w:t xml:space="preserve"> </w:t>
      </w:r>
      <w:r>
        <w:rPr>
          <w:szCs w:val="24"/>
        </w:rPr>
        <w:t>сетей</w:t>
      </w:r>
      <w:r>
        <w:rPr>
          <w:szCs w:val="24"/>
          <w:lang w:val="en-US"/>
        </w:rPr>
        <w:t xml:space="preserve"> </w:t>
      </w:r>
      <w:r>
        <w:rPr>
          <w:szCs w:val="24"/>
        </w:rPr>
        <w:t>стандарта</w:t>
      </w:r>
      <w:r>
        <w:rPr>
          <w:szCs w:val="24"/>
          <w:lang w:val="en-US"/>
        </w:rPr>
        <w:t xml:space="preserve"> IEEE 802.11.</w:t>
      </w:r>
      <w:r>
        <w:rPr>
          <w:szCs w:val="24"/>
          <w:lang w:val="en-US"/>
        </w:rPr>
        <w:cr/>
      </w:r>
    </w:p>
    <w:p>
      <w:pPr>
        <w:spacing w:before="120"/>
        <w:ind w:right="-7"/>
        <w:jc w:val="both"/>
        <w:rPr>
          <w:lang w:val="en-US"/>
        </w:rPr>
        <w:sectPr>
          <w:headerReference w:type="even" r:id="rId21"/>
          <w:headerReference w:type="default" r:id="rId22"/>
          <w:headerReference w:type="first" r:id="rId23"/>
          <w:pgSz w:w="11906" w:h="16838"/>
          <w:pgMar w:top="510" w:right="1021" w:bottom="567" w:left="1247" w:header="737" w:footer="680" w:gutter="0"/>
          <w:cols w:space="708"/>
          <w:docGrid w:linePitch="360"/>
        </w:sectPr>
      </w:pPr>
    </w:p>
    <w:p>
      <w:pPr>
        <w:pStyle w:val="S1"/>
        <w:tabs>
          <w:tab w:val="left" w:pos="567"/>
        </w:tabs>
        <w:ind w:left="0" w:firstLine="0"/>
        <w:jc w:val="left"/>
      </w:pPr>
      <w:bookmarkStart w:id="54" w:name="_Toc153013095"/>
      <w:bookmarkStart w:id="55" w:name="_Toc156727021"/>
      <w:bookmarkStart w:id="56" w:name="_Toc164238420"/>
      <w:bookmarkStart w:id="57" w:name="_Toc480899109"/>
      <w:r>
        <w:rPr>
          <w:caps w:val="0"/>
        </w:rPr>
        <w:lastRenderedPageBreak/>
        <w:t>ОБЩИЕ ПОЛОЖЕНИЯ</w:t>
      </w:r>
      <w:bookmarkEnd w:id="54"/>
      <w:bookmarkEnd w:id="55"/>
      <w:bookmarkEnd w:id="56"/>
      <w:bookmarkEnd w:id="57"/>
    </w:p>
    <w:p>
      <w:bookmarkStart w:id="58" w:name="_Toc149983195"/>
      <w:bookmarkStart w:id="59" w:name="_Toc149985389"/>
    </w:p>
    <w:p/>
    <w:p>
      <w:pPr>
        <w:tabs>
          <w:tab w:val="num" w:pos="540"/>
        </w:tabs>
        <w:jc w:val="both"/>
        <w:rPr>
          <w:bCs/>
          <w:szCs w:val="24"/>
          <w:lang w:eastAsia="ru-RU"/>
        </w:rPr>
      </w:pPr>
      <w:r>
        <w:rPr>
          <w:bCs/>
          <w:szCs w:val="24"/>
          <w:lang w:eastAsia="ru-RU"/>
        </w:rPr>
        <w:t>3.1. Телекоммуникационная инфраструктура Компании обеспечивает услуги и сервисы связи; прием и обработку сообщений; доступ к информационным системам и ресурсам Компании; доступ к сторонним информационным ресурсам.</w:t>
      </w:r>
    </w:p>
    <w:p>
      <w:pPr>
        <w:tabs>
          <w:tab w:val="num" w:pos="540"/>
        </w:tabs>
        <w:jc w:val="both"/>
        <w:rPr>
          <w:bCs/>
          <w:szCs w:val="24"/>
          <w:lang w:eastAsia="ru-RU"/>
        </w:rPr>
      </w:pPr>
    </w:p>
    <w:p>
      <w:pPr>
        <w:tabs>
          <w:tab w:val="num" w:pos="540"/>
        </w:tabs>
        <w:jc w:val="both"/>
        <w:rPr>
          <w:bCs/>
          <w:szCs w:val="24"/>
          <w:lang w:eastAsia="ru-RU"/>
        </w:rPr>
      </w:pPr>
      <w:r>
        <w:rPr>
          <w:bCs/>
          <w:szCs w:val="24"/>
          <w:lang w:eastAsia="ru-RU"/>
        </w:rPr>
        <w:t xml:space="preserve">3.2. Телекоммуникационная инфраструктура Компании включает в себя средства связи, системы телефонной связи и передачи данных; средства и системы коммутации, мультиплексирования, управления, мониторинга, администрирования, синхронизации, сигнализации, поддержания единого времени и др.; </w:t>
      </w:r>
      <w:r>
        <w:rPr>
          <w:rFonts w:eastAsia="Times New Roman"/>
          <w:color w:val="000000"/>
          <w:szCs w:val="24"/>
          <w:lang w:eastAsia="ru-RU"/>
        </w:rPr>
        <w:t>пассивное сетевое оборудование</w:t>
      </w:r>
      <w:r>
        <w:rPr>
          <w:bCs/>
          <w:szCs w:val="24"/>
          <w:lang w:eastAsia="ru-RU"/>
        </w:rPr>
        <w:t xml:space="preserve">; оконечное и </w:t>
      </w:r>
      <w:r>
        <w:rPr>
          <w:rFonts w:eastAsia="Times New Roman"/>
          <w:color w:val="000000"/>
          <w:szCs w:val="24"/>
          <w:lang w:eastAsia="ru-RU"/>
        </w:rPr>
        <w:t>абонентское</w:t>
      </w:r>
      <w:r>
        <w:rPr>
          <w:bCs/>
          <w:szCs w:val="24"/>
          <w:lang w:eastAsia="ru-RU"/>
        </w:rPr>
        <w:t xml:space="preserve"> оборудование (компьютерное оборудование, телефонные аппараты, факсимильные аппараты, множительное оборудование и др.); линейно-кабельные и антенно-фидерные сооружения; средства и СЭ; технические средства инженерных систем телекоммуникационной инфраструктуры.</w:t>
      </w:r>
    </w:p>
    <w:p>
      <w:pPr>
        <w:tabs>
          <w:tab w:val="num" w:pos="540"/>
        </w:tabs>
        <w:jc w:val="both"/>
        <w:rPr>
          <w:bCs/>
          <w:szCs w:val="24"/>
          <w:lang w:eastAsia="ru-RU"/>
        </w:rPr>
      </w:pPr>
    </w:p>
    <w:p>
      <w:pPr>
        <w:jc w:val="both"/>
        <w:rPr>
          <w:bCs/>
          <w:szCs w:val="24"/>
          <w:lang w:eastAsia="ru-RU"/>
        </w:rPr>
      </w:pPr>
      <w:r>
        <w:rPr>
          <w:bCs/>
          <w:szCs w:val="24"/>
          <w:lang w:eastAsia="ru-RU"/>
        </w:rPr>
        <w:t>3.3. Телекоммуникационная инфраструктура Компании включает в себя следующие объекты: технологические помещения; помещения с организованными рабочими местами, обеспечивающих эксплуатацию средств связи, контроль состояния и мониторинг; помещения для хранения ЗИП. Основными объектами телекоммуникационной инфраструктуры являются технологические помещения: ЦОД, серверные помещения, кроссовые помещения, коммутационные помещения (УПАТС, ОПТС, АТС).</w:t>
      </w:r>
    </w:p>
    <w:p>
      <w:pPr>
        <w:jc w:val="both"/>
        <w:rPr>
          <w:bCs/>
          <w:szCs w:val="24"/>
          <w:lang w:eastAsia="ru-RU"/>
        </w:rPr>
      </w:pPr>
    </w:p>
    <w:p>
      <w:pPr>
        <w:tabs>
          <w:tab w:val="num" w:pos="540"/>
        </w:tabs>
        <w:jc w:val="both"/>
        <w:rPr>
          <w:bCs/>
          <w:szCs w:val="24"/>
          <w:lang w:eastAsia="ru-RU"/>
        </w:rPr>
      </w:pPr>
      <w:r>
        <w:rPr>
          <w:bCs/>
          <w:szCs w:val="24"/>
          <w:lang w:eastAsia="ru-RU"/>
        </w:rPr>
        <w:t>3.4. В зависимости от среды распространения сообщений в телекоммуникационной инфраструктуре Компании применяются:</w:t>
      </w:r>
    </w:p>
    <w:p>
      <w:pPr>
        <w:numPr>
          <w:ilvl w:val="0"/>
          <w:numId w:val="2"/>
        </w:numPr>
        <w:tabs>
          <w:tab w:val="num" w:pos="540"/>
        </w:tabs>
        <w:spacing w:before="120"/>
        <w:ind w:left="538" w:hanging="357"/>
        <w:jc w:val="both"/>
        <w:rPr>
          <w:szCs w:val="24"/>
        </w:rPr>
      </w:pPr>
      <w:r>
        <w:rPr>
          <w:szCs w:val="24"/>
        </w:rPr>
        <w:t>волоконно-оптические системы связи;</w:t>
      </w:r>
    </w:p>
    <w:p>
      <w:pPr>
        <w:numPr>
          <w:ilvl w:val="0"/>
          <w:numId w:val="2"/>
        </w:numPr>
        <w:tabs>
          <w:tab w:val="num" w:pos="540"/>
        </w:tabs>
        <w:spacing w:before="120"/>
        <w:ind w:left="538" w:hanging="357"/>
        <w:jc w:val="both"/>
        <w:rPr>
          <w:szCs w:val="24"/>
        </w:rPr>
      </w:pPr>
      <w:r>
        <w:rPr>
          <w:szCs w:val="24"/>
        </w:rPr>
        <w:t>системы передачи по кабелю с медными жилами;</w:t>
      </w:r>
    </w:p>
    <w:p>
      <w:pPr>
        <w:numPr>
          <w:ilvl w:val="0"/>
          <w:numId w:val="2"/>
        </w:numPr>
        <w:tabs>
          <w:tab w:val="num" w:pos="540"/>
        </w:tabs>
        <w:spacing w:before="120"/>
        <w:ind w:left="538" w:hanging="357"/>
        <w:jc w:val="both"/>
        <w:rPr>
          <w:szCs w:val="24"/>
        </w:rPr>
      </w:pPr>
      <w:r>
        <w:rPr>
          <w:szCs w:val="24"/>
        </w:rPr>
        <w:t>радиорелейные системы связи;</w:t>
      </w:r>
    </w:p>
    <w:p>
      <w:pPr>
        <w:numPr>
          <w:ilvl w:val="0"/>
          <w:numId w:val="2"/>
        </w:numPr>
        <w:tabs>
          <w:tab w:val="num" w:pos="540"/>
        </w:tabs>
        <w:spacing w:before="120"/>
        <w:ind w:left="538" w:hanging="357"/>
        <w:jc w:val="both"/>
        <w:rPr>
          <w:szCs w:val="24"/>
        </w:rPr>
      </w:pPr>
      <w:r>
        <w:rPr>
          <w:szCs w:val="24"/>
        </w:rPr>
        <w:t>спутниковые системы связи;</w:t>
      </w:r>
    </w:p>
    <w:p>
      <w:pPr>
        <w:numPr>
          <w:ilvl w:val="0"/>
          <w:numId w:val="2"/>
        </w:numPr>
        <w:tabs>
          <w:tab w:val="num" w:pos="540"/>
        </w:tabs>
        <w:spacing w:before="120"/>
        <w:ind w:left="538" w:hanging="357"/>
        <w:jc w:val="both"/>
        <w:rPr>
          <w:szCs w:val="24"/>
        </w:rPr>
      </w:pPr>
      <w:r>
        <w:rPr>
          <w:szCs w:val="24"/>
        </w:rPr>
        <w:t>системы радиосвязи;</w:t>
      </w:r>
    </w:p>
    <w:p>
      <w:pPr>
        <w:numPr>
          <w:ilvl w:val="0"/>
          <w:numId w:val="2"/>
        </w:numPr>
        <w:tabs>
          <w:tab w:val="num" w:pos="540"/>
        </w:tabs>
        <w:spacing w:before="120"/>
        <w:ind w:left="538" w:hanging="357"/>
        <w:jc w:val="both"/>
        <w:rPr>
          <w:szCs w:val="24"/>
        </w:rPr>
      </w:pPr>
      <w:r>
        <w:rPr>
          <w:szCs w:val="24"/>
        </w:rPr>
        <w:t>атмосферные оптические системы связи.</w:t>
      </w:r>
    </w:p>
    <w:p>
      <w:pPr>
        <w:pStyle w:val="S4"/>
      </w:pPr>
    </w:p>
    <w:p>
      <w:pPr>
        <w:pStyle w:val="S4"/>
        <w:rPr>
          <w:bCs/>
        </w:rPr>
      </w:pPr>
      <w:r>
        <w:rPr>
          <w:bCs/>
        </w:rPr>
        <w:t>3.5. На основе средств и систем связи, указанных в п. 3.2 и п. 3.4, в Компании существуют:</w:t>
      </w:r>
    </w:p>
    <w:p>
      <w:pPr>
        <w:numPr>
          <w:ilvl w:val="0"/>
          <w:numId w:val="2"/>
        </w:numPr>
        <w:tabs>
          <w:tab w:val="num" w:pos="540"/>
        </w:tabs>
        <w:spacing w:before="120"/>
        <w:ind w:left="538" w:hanging="357"/>
        <w:jc w:val="both"/>
        <w:rPr>
          <w:szCs w:val="24"/>
        </w:rPr>
      </w:pPr>
      <w:r>
        <w:rPr>
          <w:bCs/>
          <w:szCs w:val="24"/>
          <w:lang w:eastAsia="ru-RU"/>
        </w:rPr>
        <w:t>ЛВС;</w:t>
      </w:r>
    </w:p>
    <w:p>
      <w:pPr>
        <w:numPr>
          <w:ilvl w:val="0"/>
          <w:numId w:val="2"/>
        </w:numPr>
        <w:tabs>
          <w:tab w:val="num" w:pos="540"/>
        </w:tabs>
        <w:spacing w:before="120"/>
        <w:ind w:left="538" w:hanging="357"/>
        <w:jc w:val="both"/>
        <w:rPr>
          <w:szCs w:val="24"/>
        </w:rPr>
      </w:pPr>
      <w:r>
        <w:rPr>
          <w:bCs/>
          <w:szCs w:val="24"/>
          <w:lang w:eastAsia="ru-RU"/>
        </w:rPr>
        <w:t>сети телефонной связи;</w:t>
      </w:r>
    </w:p>
    <w:p>
      <w:pPr>
        <w:numPr>
          <w:ilvl w:val="0"/>
          <w:numId w:val="2"/>
        </w:numPr>
        <w:tabs>
          <w:tab w:val="num" w:pos="540"/>
        </w:tabs>
        <w:spacing w:before="120"/>
        <w:ind w:left="538" w:hanging="357"/>
        <w:rPr>
          <w:szCs w:val="24"/>
        </w:rPr>
      </w:pPr>
      <w:r>
        <w:rPr>
          <w:bCs/>
          <w:szCs w:val="24"/>
          <w:lang w:eastAsia="ru-RU"/>
        </w:rPr>
        <w:t>сети видеоконференцсвязи;</w:t>
      </w:r>
    </w:p>
    <w:p>
      <w:pPr>
        <w:numPr>
          <w:ilvl w:val="0"/>
          <w:numId w:val="2"/>
        </w:numPr>
        <w:tabs>
          <w:tab w:val="num" w:pos="540"/>
        </w:tabs>
        <w:spacing w:before="120"/>
        <w:ind w:left="538" w:hanging="357"/>
        <w:jc w:val="both"/>
        <w:rPr>
          <w:szCs w:val="24"/>
        </w:rPr>
      </w:pPr>
      <w:r>
        <w:rPr>
          <w:bCs/>
          <w:szCs w:val="24"/>
          <w:lang w:eastAsia="ru-RU"/>
        </w:rPr>
        <w:t>беспроводные сети связи;</w:t>
      </w:r>
    </w:p>
    <w:p>
      <w:pPr>
        <w:numPr>
          <w:ilvl w:val="0"/>
          <w:numId w:val="2"/>
        </w:numPr>
        <w:tabs>
          <w:tab w:val="num" w:pos="540"/>
        </w:tabs>
        <w:spacing w:before="120"/>
        <w:ind w:left="538" w:hanging="357"/>
        <w:jc w:val="both"/>
        <w:rPr>
          <w:szCs w:val="24"/>
        </w:rPr>
      </w:pPr>
      <w:r>
        <w:rPr>
          <w:bCs/>
          <w:szCs w:val="24"/>
          <w:lang w:eastAsia="ru-RU"/>
        </w:rPr>
        <w:t>технологические сети связи;</w:t>
      </w:r>
    </w:p>
    <w:p>
      <w:pPr>
        <w:numPr>
          <w:ilvl w:val="0"/>
          <w:numId w:val="2"/>
        </w:numPr>
        <w:tabs>
          <w:tab w:val="num" w:pos="540"/>
        </w:tabs>
        <w:spacing w:before="120"/>
        <w:ind w:left="538" w:hanging="357"/>
        <w:jc w:val="both"/>
        <w:rPr>
          <w:szCs w:val="24"/>
        </w:rPr>
      </w:pPr>
      <w:r>
        <w:rPr>
          <w:bCs/>
          <w:szCs w:val="24"/>
          <w:lang w:eastAsia="ru-RU"/>
        </w:rPr>
        <w:t>другие сети связи, не приведенные выше.</w:t>
      </w:r>
    </w:p>
    <w:p>
      <w:pPr>
        <w:pStyle w:val="S4"/>
      </w:pPr>
    </w:p>
    <w:p>
      <w:pPr>
        <w:pStyle w:val="S4"/>
        <w:rPr>
          <w:bCs/>
        </w:rPr>
      </w:pPr>
      <w:r>
        <w:rPr>
          <w:bCs/>
        </w:rPr>
        <w:t>3.6. Эксплуатацию, техническое обслуживание и ремонт средств связи и технические средств телекоммуникационной инфраструктуры, предоставление услуг связи в интересах Компании обеспечивают операторы связи, подрядные (сервисные) организации в рамках заключенных договоров.</w:t>
      </w:r>
    </w:p>
    <w:p>
      <w:pPr>
        <w:rPr>
          <w:lang w:eastAsia="ru-RU"/>
        </w:rPr>
      </w:pPr>
    </w:p>
    <w:p>
      <w:pPr>
        <w:rPr>
          <w:lang w:eastAsia="ru-RU"/>
        </w:rPr>
        <w:sectPr>
          <w:headerReference w:type="even" r:id="rId24"/>
          <w:headerReference w:type="default" r:id="rId25"/>
          <w:headerReference w:type="first" r:id="rId26"/>
          <w:pgSz w:w="11906" w:h="16838" w:code="9"/>
          <w:pgMar w:top="510" w:right="1021" w:bottom="567" w:left="1247" w:header="737" w:footer="680" w:gutter="0"/>
          <w:cols w:space="708"/>
          <w:docGrid w:linePitch="360"/>
        </w:sectPr>
      </w:pPr>
    </w:p>
    <w:p>
      <w:pPr>
        <w:pStyle w:val="S1"/>
        <w:tabs>
          <w:tab w:val="left" w:pos="567"/>
        </w:tabs>
        <w:ind w:left="0" w:firstLine="0"/>
        <w:rPr>
          <w:bCs/>
        </w:rPr>
      </w:pPr>
      <w:bookmarkStart w:id="60" w:name="_Toc480899110"/>
      <w:r>
        <w:rPr>
          <w:caps w:val="0"/>
        </w:rPr>
        <w:lastRenderedPageBreak/>
        <w:t>ТРЕБОВАНИЯ БЕЗОПАСНОСТИ ТЕЛЕКОММУНИКАЦИОННОЙ ИНФРАСТРУКТУРЫ</w:t>
      </w:r>
      <w:bookmarkEnd w:id="60"/>
    </w:p>
    <w:p/>
    <w:p/>
    <w:p>
      <w:pPr>
        <w:jc w:val="both"/>
        <w:rPr>
          <w:bCs/>
          <w:szCs w:val="24"/>
          <w:lang w:eastAsia="ru-RU"/>
        </w:rPr>
      </w:pPr>
      <w:r>
        <w:rPr>
          <w:bCs/>
          <w:szCs w:val="24"/>
          <w:lang w:eastAsia="ru-RU"/>
        </w:rPr>
        <w:t>4.1. Требования безопасности телекоммуникационной инфраструктуры делятся на две группы. Первая группа – это количественные требования, связанные с показателями характеристик инфраструктуры связи, вторая – требования, определяющие качественные характеристики. Требования по обеспечению безопасности телекоммуникационной инфраструктуры должны быть сопоставимы с возможными воздействиями, ожидаемым ущербом от них, а также материальными затратами на их достижение.</w:t>
      </w:r>
    </w:p>
    <w:p>
      <w:pPr>
        <w:jc w:val="both"/>
        <w:rPr>
          <w:bCs/>
          <w:szCs w:val="24"/>
          <w:lang w:eastAsia="ru-RU"/>
        </w:rPr>
      </w:pPr>
    </w:p>
    <w:p>
      <w:pPr>
        <w:jc w:val="both"/>
        <w:rPr>
          <w:bCs/>
          <w:szCs w:val="24"/>
          <w:lang w:eastAsia="ru-RU"/>
        </w:rPr>
      </w:pPr>
      <w:r>
        <w:rPr>
          <w:bCs/>
          <w:szCs w:val="24"/>
          <w:lang w:eastAsia="ru-RU"/>
        </w:rPr>
        <w:t xml:space="preserve">4.2. Требования безопасности телекоммуникационной инфраструктуры должны предъявляться на всех этапах жизненного цикла телекоммуникационной инфраструктуры: закупка, проектирование, строительство, модернизация, развитие, эксплуатация, техническое обслуживание и ремонт, вывод из эксплуатации, уничтожение. </w:t>
      </w:r>
    </w:p>
    <w:p>
      <w:pPr>
        <w:jc w:val="both"/>
        <w:rPr>
          <w:bCs/>
          <w:szCs w:val="24"/>
          <w:lang w:eastAsia="ru-RU"/>
        </w:rPr>
      </w:pPr>
    </w:p>
    <w:p>
      <w:pPr>
        <w:jc w:val="both"/>
        <w:rPr>
          <w:bCs/>
          <w:szCs w:val="24"/>
          <w:lang w:eastAsia="ru-RU"/>
        </w:rPr>
      </w:pPr>
      <w:r>
        <w:rPr>
          <w:bCs/>
          <w:szCs w:val="24"/>
          <w:lang w:eastAsia="ru-RU"/>
        </w:rPr>
        <w:t>4.3. Требования безопасности телекоммуникационной инфраструктуры должны формироваться с учетом функций и задач, решаемых инфраструктурой связи, используемыми технологиями передачи информации, возможных воздействий, реальных проектных и эксплуатационных ресурсов и существующих ограничений на функционирование электросвязи, а также требований и условий взаимодействия с операторами связи.</w:t>
      </w:r>
    </w:p>
    <w:p>
      <w:pPr>
        <w:jc w:val="both"/>
        <w:rPr>
          <w:bCs/>
          <w:szCs w:val="24"/>
          <w:lang w:eastAsia="ru-RU"/>
        </w:rPr>
      </w:pPr>
    </w:p>
    <w:p>
      <w:pPr>
        <w:jc w:val="both"/>
        <w:rPr>
          <w:bCs/>
          <w:szCs w:val="24"/>
          <w:lang w:eastAsia="ru-RU"/>
        </w:rPr>
      </w:pPr>
      <w:r>
        <w:rPr>
          <w:bCs/>
          <w:szCs w:val="24"/>
          <w:lang w:eastAsia="ru-RU"/>
        </w:rPr>
        <w:t xml:space="preserve">4.4. Безопасность </w:t>
      </w:r>
      <w:r>
        <w:t>телекоммуникационной</w:t>
      </w:r>
      <w:r>
        <w:rPr>
          <w:caps/>
        </w:rPr>
        <w:t xml:space="preserve"> </w:t>
      </w:r>
      <w:r>
        <w:t xml:space="preserve">инфраструктуры </w:t>
      </w:r>
      <w:r>
        <w:rPr>
          <w:bCs/>
          <w:szCs w:val="24"/>
          <w:lang w:eastAsia="ru-RU"/>
        </w:rPr>
        <w:t>достигается выполнением требований:</w:t>
      </w:r>
    </w:p>
    <w:p>
      <w:pPr>
        <w:numPr>
          <w:ilvl w:val="0"/>
          <w:numId w:val="2"/>
        </w:numPr>
        <w:tabs>
          <w:tab w:val="num" w:pos="540"/>
        </w:tabs>
        <w:spacing w:before="120"/>
        <w:ind w:left="538" w:hanging="357"/>
        <w:jc w:val="both"/>
        <w:rPr>
          <w:szCs w:val="24"/>
        </w:rPr>
      </w:pPr>
      <w:r>
        <w:rPr>
          <w:bCs/>
          <w:szCs w:val="24"/>
          <w:lang w:eastAsia="ru-RU"/>
        </w:rPr>
        <w:t>физическая защита, разграничение и порядок доступа, а также защита от воздействий окружающей среды;</w:t>
      </w:r>
    </w:p>
    <w:p>
      <w:pPr>
        <w:numPr>
          <w:ilvl w:val="0"/>
          <w:numId w:val="2"/>
        </w:numPr>
        <w:tabs>
          <w:tab w:val="num" w:pos="540"/>
        </w:tabs>
        <w:spacing w:before="120"/>
        <w:ind w:left="538" w:hanging="357"/>
        <w:jc w:val="both"/>
        <w:rPr>
          <w:szCs w:val="24"/>
        </w:rPr>
      </w:pPr>
      <w:r>
        <w:rPr>
          <w:bCs/>
          <w:szCs w:val="24"/>
          <w:lang w:eastAsia="ru-RU"/>
        </w:rPr>
        <w:t>к безопасности оборудования;</w:t>
      </w:r>
    </w:p>
    <w:p>
      <w:pPr>
        <w:numPr>
          <w:ilvl w:val="0"/>
          <w:numId w:val="2"/>
        </w:numPr>
        <w:tabs>
          <w:tab w:val="num" w:pos="540"/>
        </w:tabs>
        <w:spacing w:before="120"/>
        <w:ind w:left="538" w:hanging="357"/>
        <w:jc w:val="both"/>
        <w:rPr>
          <w:szCs w:val="24"/>
        </w:rPr>
      </w:pPr>
      <w:r>
        <w:rPr>
          <w:bCs/>
          <w:szCs w:val="24"/>
          <w:lang w:eastAsia="ru-RU"/>
        </w:rPr>
        <w:t>к безопасности технического обслуживания оборудования;</w:t>
      </w:r>
    </w:p>
    <w:p>
      <w:pPr>
        <w:numPr>
          <w:ilvl w:val="0"/>
          <w:numId w:val="2"/>
        </w:numPr>
        <w:tabs>
          <w:tab w:val="num" w:pos="540"/>
        </w:tabs>
        <w:spacing w:before="120"/>
        <w:ind w:left="538" w:hanging="357"/>
        <w:jc w:val="both"/>
        <w:rPr>
          <w:szCs w:val="24"/>
        </w:rPr>
      </w:pPr>
      <w:r>
        <w:rPr>
          <w:bCs/>
          <w:szCs w:val="24"/>
          <w:lang w:eastAsia="ru-RU"/>
        </w:rPr>
        <w:t>к документации на объекты инфраструктуры связи.</w:t>
      </w:r>
    </w:p>
    <w:p>
      <w:pPr>
        <w:pStyle w:val="S4"/>
      </w:pPr>
    </w:p>
    <w:p>
      <w:pPr>
        <w:jc w:val="both"/>
        <w:rPr>
          <w:bCs/>
          <w:szCs w:val="24"/>
          <w:lang w:eastAsia="ru-RU"/>
        </w:rPr>
      </w:pPr>
      <w:r>
        <w:rPr>
          <w:szCs w:val="24"/>
        </w:rPr>
        <w:t xml:space="preserve">4.5. Требования к </w:t>
      </w:r>
      <w:r>
        <w:rPr>
          <w:bCs/>
          <w:szCs w:val="24"/>
          <w:lang w:eastAsia="ru-RU"/>
        </w:rPr>
        <w:t>физической защите, порядку доступа и защите от воздействий окружающей среды</w:t>
      </w:r>
    </w:p>
    <w:p>
      <w:pPr>
        <w:jc w:val="both"/>
        <w:rPr>
          <w:szCs w:val="24"/>
        </w:rPr>
      </w:pPr>
    </w:p>
    <w:p>
      <w:pPr>
        <w:jc w:val="both"/>
        <w:rPr>
          <w:bCs/>
          <w:szCs w:val="24"/>
          <w:lang w:eastAsia="ru-RU"/>
        </w:rPr>
      </w:pPr>
      <w:r>
        <w:rPr>
          <w:bCs/>
          <w:szCs w:val="24"/>
          <w:lang w:eastAsia="ru-RU"/>
        </w:rPr>
        <w:t>4.5.1. Объекты телекоммуникационной инфраструктуры должны находиться в контролируемой зоне. Помещения должны обладать защитными функциями и СКД. Должен осуществляться авторизованный доступ. Доступ должен быть физически защищен от неавторизованного доступа, возможности повреждений и воздействий.</w:t>
      </w:r>
    </w:p>
    <w:p>
      <w:pPr>
        <w:jc w:val="both"/>
        <w:rPr>
          <w:bCs/>
          <w:szCs w:val="24"/>
          <w:lang w:eastAsia="ru-RU"/>
        </w:rPr>
      </w:pPr>
    </w:p>
    <w:p>
      <w:pPr>
        <w:jc w:val="both"/>
        <w:rPr>
          <w:bCs/>
          <w:szCs w:val="24"/>
          <w:lang w:eastAsia="ru-RU"/>
        </w:rPr>
      </w:pPr>
      <w:r>
        <w:rPr>
          <w:bCs/>
          <w:szCs w:val="24"/>
          <w:lang w:eastAsia="ru-RU"/>
        </w:rPr>
        <w:t>Для физической защиты телекоммуникационной инфраструктуры необходимо:</w:t>
      </w:r>
    </w:p>
    <w:p>
      <w:pPr>
        <w:numPr>
          <w:ilvl w:val="0"/>
          <w:numId w:val="2"/>
        </w:numPr>
        <w:tabs>
          <w:tab w:val="num" w:pos="540"/>
        </w:tabs>
        <w:spacing w:before="120"/>
        <w:ind w:left="538" w:hanging="357"/>
        <w:jc w:val="both"/>
        <w:rPr>
          <w:szCs w:val="24"/>
        </w:rPr>
      </w:pPr>
      <w:r>
        <w:rPr>
          <w:szCs w:val="24"/>
        </w:rPr>
        <w:t xml:space="preserve">задать </w:t>
      </w:r>
      <w:r>
        <w:rPr>
          <w:bCs/>
          <w:szCs w:val="24"/>
          <w:lang w:eastAsia="ru-RU"/>
        </w:rPr>
        <w:t>контролируемую зону</w:t>
      </w:r>
      <w:r>
        <w:rPr>
          <w:szCs w:val="24"/>
        </w:rPr>
        <w:t>;</w:t>
      </w:r>
    </w:p>
    <w:p>
      <w:pPr>
        <w:numPr>
          <w:ilvl w:val="0"/>
          <w:numId w:val="2"/>
        </w:numPr>
        <w:tabs>
          <w:tab w:val="num" w:pos="540"/>
        </w:tabs>
        <w:spacing w:before="120"/>
        <w:ind w:left="538" w:hanging="357"/>
        <w:jc w:val="both"/>
        <w:rPr>
          <w:bCs/>
          <w:szCs w:val="24"/>
          <w:lang w:eastAsia="ru-RU"/>
        </w:rPr>
      </w:pPr>
      <w:r>
        <w:rPr>
          <w:szCs w:val="24"/>
        </w:rPr>
        <w:t xml:space="preserve">определить сплошные физические барьеры объектов </w:t>
      </w:r>
      <w:r>
        <w:rPr>
          <w:bCs/>
          <w:szCs w:val="24"/>
          <w:lang w:eastAsia="ru-RU"/>
        </w:rPr>
        <w:t>инфраструктуры связи</w:t>
      </w:r>
      <w:r>
        <w:rPr>
          <w:szCs w:val="24"/>
        </w:rPr>
        <w:t>;</w:t>
      </w:r>
    </w:p>
    <w:p>
      <w:pPr>
        <w:numPr>
          <w:ilvl w:val="0"/>
          <w:numId w:val="2"/>
        </w:numPr>
        <w:tabs>
          <w:tab w:val="num" w:pos="540"/>
        </w:tabs>
        <w:spacing w:before="120"/>
        <w:ind w:left="538" w:hanging="357"/>
        <w:jc w:val="both"/>
        <w:rPr>
          <w:bCs/>
          <w:szCs w:val="24"/>
          <w:lang w:eastAsia="ru-RU"/>
        </w:rPr>
      </w:pPr>
      <w:r>
        <w:rPr>
          <w:szCs w:val="24"/>
        </w:rPr>
        <w:t>чтобы внешние стены помещений имели прочную</w:t>
      </w:r>
      <w:r>
        <w:rPr>
          <w:bCs/>
          <w:szCs w:val="24"/>
          <w:lang w:eastAsia="ru-RU"/>
        </w:rPr>
        <w:t xml:space="preserve"> конструкцию, а все внешние двери должны быть защищены от неавторизованного доступа, например, оснащены устройствами контроля доступа, сигнализацией, замками и т. п.;</w:t>
      </w:r>
    </w:p>
    <w:p>
      <w:pPr>
        <w:numPr>
          <w:ilvl w:val="0"/>
          <w:numId w:val="2"/>
        </w:numPr>
        <w:tabs>
          <w:tab w:val="num" w:pos="540"/>
        </w:tabs>
        <w:spacing w:before="120"/>
        <w:ind w:left="538" w:hanging="357"/>
        <w:jc w:val="both"/>
        <w:rPr>
          <w:szCs w:val="24"/>
        </w:rPr>
      </w:pPr>
      <w:r>
        <w:rPr>
          <w:bCs/>
          <w:szCs w:val="24"/>
          <w:lang w:eastAsia="ru-RU"/>
        </w:rPr>
        <w:lastRenderedPageBreak/>
        <w:t xml:space="preserve">осуществлять </w:t>
      </w:r>
      <w:r>
        <w:rPr>
          <w:szCs w:val="24"/>
        </w:rPr>
        <w:t>мероприятия по управлению физическим доступом в помещения или здания. Доступ в помещения и здания телекоммуникационной инфраструктуры должен быть предоставлен только авторизованному персоналу;</w:t>
      </w:r>
    </w:p>
    <w:p>
      <w:pPr>
        <w:numPr>
          <w:ilvl w:val="0"/>
          <w:numId w:val="2"/>
        </w:numPr>
        <w:tabs>
          <w:tab w:val="num" w:pos="540"/>
        </w:tabs>
        <w:spacing w:before="120"/>
        <w:ind w:left="538" w:hanging="357"/>
        <w:jc w:val="both"/>
        <w:rPr>
          <w:szCs w:val="24"/>
        </w:rPr>
      </w:pPr>
      <w:r>
        <w:rPr>
          <w:szCs w:val="24"/>
        </w:rPr>
        <w:t>все противопожарные выходы объектов телекоммуникационной инфраструктуры должны быть оборудованы надписями, аварийной сигнализацией и оборудованы запорными устройствами.</w:t>
      </w:r>
    </w:p>
    <w:p>
      <w:pPr>
        <w:pStyle w:val="S4"/>
      </w:pPr>
    </w:p>
    <w:p>
      <w:pPr>
        <w:jc w:val="both"/>
        <w:rPr>
          <w:bCs/>
          <w:szCs w:val="24"/>
          <w:lang w:eastAsia="ru-RU"/>
        </w:rPr>
      </w:pPr>
      <w:bookmarkStart w:id="61" w:name="sub_712"/>
      <w:r>
        <w:rPr>
          <w:bCs/>
          <w:szCs w:val="24"/>
          <w:lang w:eastAsia="ru-RU"/>
        </w:rPr>
        <w:t xml:space="preserve">4.5.2. Контроль доступа в помещения </w:t>
      </w:r>
      <w:r>
        <w:rPr>
          <w:szCs w:val="24"/>
        </w:rPr>
        <w:t>телекоммуникационной инфраструктуры</w:t>
      </w:r>
    </w:p>
    <w:p>
      <w:pPr>
        <w:jc w:val="both"/>
        <w:rPr>
          <w:bCs/>
          <w:szCs w:val="24"/>
          <w:lang w:eastAsia="ru-RU"/>
        </w:rPr>
      </w:pPr>
    </w:p>
    <w:bookmarkEnd w:id="61"/>
    <w:p>
      <w:pPr>
        <w:jc w:val="both"/>
        <w:rPr>
          <w:bCs/>
          <w:szCs w:val="24"/>
          <w:lang w:eastAsia="ru-RU"/>
        </w:rPr>
      </w:pPr>
      <w:r>
        <w:rPr>
          <w:bCs/>
          <w:szCs w:val="24"/>
          <w:lang w:eastAsia="ru-RU"/>
        </w:rPr>
        <w:t xml:space="preserve">В помещениях инфраструктуры связи должен осуществляться контроль доступа. Беспрепятственный доступ может быть разрешен только авторизованному персоналу. К авторизованному персоналу </w:t>
      </w:r>
      <w:r>
        <w:rPr>
          <w:szCs w:val="24"/>
        </w:rPr>
        <w:t>телекоммуникационной инфраструктуры</w:t>
      </w:r>
      <w:r>
        <w:rPr>
          <w:bCs/>
          <w:szCs w:val="24"/>
          <w:lang w:eastAsia="ru-RU"/>
        </w:rPr>
        <w:t xml:space="preserve"> относятся работник (группа работников) Компании по функциональным обязанностям, представитель(и) подрядной организации, действующей на основании договора на обслуживание инфраструктуры связи, предоставление услуг связи, проектирование, монтаж и модернизацию </w:t>
      </w:r>
      <w:r>
        <w:rPr>
          <w:szCs w:val="24"/>
        </w:rPr>
        <w:t>телекоммуникационной инфраструктуры</w:t>
      </w:r>
      <w:r>
        <w:rPr>
          <w:bCs/>
          <w:szCs w:val="24"/>
          <w:lang w:eastAsia="ru-RU"/>
        </w:rPr>
        <w:t>.</w:t>
      </w:r>
    </w:p>
    <w:p>
      <w:pPr>
        <w:jc w:val="both"/>
        <w:rPr>
          <w:bCs/>
          <w:szCs w:val="24"/>
          <w:lang w:eastAsia="ru-RU"/>
        </w:rPr>
      </w:pPr>
    </w:p>
    <w:p>
      <w:pPr>
        <w:jc w:val="both"/>
        <w:rPr>
          <w:bCs/>
          <w:szCs w:val="24"/>
          <w:lang w:eastAsia="ru-RU"/>
        </w:rPr>
      </w:pPr>
      <w:r>
        <w:rPr>
          <w:bCs/>
          <w:szCs w:val="24"/>
          <w:lang w:eastAsia="ru-RU"/>
        </w:rPr>
        <w:t>Необходимо обеспечить следующие меры контроля:</w:t>
      </w:r>
    </w:p>
    <w:p>
      <w:pPr>
        <w:numPr>
          <w:ilvl w:val="0"/>
          <w:numId w:val="2"/>
        </w:numPr>
        <w:tabs>
          <w:tab w:val="num" w:pos="540"/>
        </w:tabs>
        <w:spacing w:before="120"/>
        <w:ind w:left="538" w:hanging="357"/>
        <w:jc w:val="both"/>
        <w:rPr>
          <w:szCs w:val="24"/>
        </w:rPr>
      </w:pPr>
      <w:r>
        <w:rPr>
          <w:szCs w:val="24"/>
        </w:rPr>
        <w:t xml:space="preserve">посещение телекоммуникационной инфраструктуры допускается </w:t>
      </w:r>
      <w:r>
        <w:rPr>
          <w:bCs/>
          <w:szCs w:val="24"/>
          <w:lang w:eastAsia="ru-RU"/>
        </w:rPr>
        <w:t>авторизованным персоналом или в его сопровождении</w:t>
      </w:r>
      <w:r>
        <w:rPr>
          <w:szCs w:val="24"/>
        </w:rPr>
        <w:t>; дата, время, фамилия, имя, отчество работника при входе и выходе регистрируются. Доступ следует предоставлять только для выполнения определенных согласованных авторизованных задач;</w:t>
      </w:r>
    </w:p>
    <w:p>
      <w:pPr>
        <w:numPr>
          <w:ilvl w:val="0"/>
          <w:numId w:val="2"/>
        </w:numPr>
        <w:tabs>
          <w:tab w:val="num" w:pos="540"/>
        </w:tabs>
        <w:spacing w:before="120"/>
        <w:ind w:left="538" w:hanging="357"/>
        <w:jc w:val="both"/>
        <w:rPr>
          <w:szCs w:val="24"/>
        </w:rPr>
      </w:pPr>
      <w:r>
        <w:rPr>
          <w:szCs w:val="24"/>
        </w:rPr>
        <w:t>доступ к средствам (оборудованию) телекоммуникационной инфраструктуры должен контролироваться и предоставляться только авторизованному персоналу. Необходимо использовать средства аутентификации для авторизации и предоставления соответствующего доступа;</w:t>
      </w:r>
    </w:p>
    <w:p>
      <w:pPr>
        <w:numPr>
          <w:ilvl w:val="0"/>
          <w:numId w:val="2"/>
        </w:numPr>
        <w:tabs>
          <w:tab w:val="num" w:pos="540"/>
        </w:tabs>
        <w:spacing w:before="120"/>
        <w:ind w:left="538" w:hanging="357"/>
        <w:jc w:val="both"/>
        <w:rPr>
          <w:szCs w:val="24"/>
        </w:rPr>
      </w:pPr>
      <w:r>
        <w:rPr>
          <w:szCs w:val="24"/>
        </w:rPr>
        <w:t xml:space="preserve">список состава </w:t>
      </w:r>
      <w:r>
        <w:rPr>
          <w:bCs/>
          <w:szCs w:val="24"/>
          <w:lang w:eastAsia="ru-RU"/>
        </w:rPr>
        <w:t xml:space="preserve">авторизованного персонала </w:t>
      </w:r>
      <w:r>
        <w:rPr>
          <w:szCs w:val="24"/>
        </w:rPr>
        <w:t>должен оформляться на работников, состоящих в штате Компании и на специалистов подрядных (сервисных) организаций на основании действующих договоров по телекоммуникационной инфраструктуре, после представления и согласования СБ;</w:t>
      </w:r>
    </w:p>
    <w:p>
      <w:pPr>
        <w:numPr>
          <w:ilvl w:val="0"/>
          <w:numId w:val="2"/>
        </w:numPr>
        <w:tabs>
          <w:tab w:val="num" w:pos="540"/>
        </w:tabs>
        <w:spacing w:before="120"/>
        <w:ind w:left="538" w:hanging="357"/>
        <w:jc w:val="both"/>
        <w:rPr>
          <w:szCs w:val="24"/>
        </w:rPr>
      </w:pPr>
      <w:r>
        <w:rPr>
          <w:szCs w:val="24"/>
        </w:rPr>
        <w:t>правила доступа работников (их состав) в помещения телекоммуникационной инфраструктуры следует не менее одного раза в год актуализировать.</w:t>
      </w:r>
    </w:p>
    <w:p>
      <w:pPr>
        <w:pStyle w:val="S4"/>
      </w:pPr>
    </w:p>
    <w:p>
      <w:pPr>
        <w:keepNext/>
        <w:keepLines/>
        <w:jc w:val="both"/>
        <w:rPr>
          <w:bCs/>
          <w:szCs w:val="24"/>
          <w:lang w:eastAsia="ru-RU"/>
        </w:rPr>
      </w:pPr>
      <w:bookmarkStart w:id="62" w:name="sub_713"/>
      <w:r>
        <w:rPr>
          <w:bCs/>
          <w:szCs w:val="24"/>
          <w:lang w:eastAsia="ru-RU"/>
        </w:rPr>
        <w:t xml:space="preserve">4.5.3. Безопасность помещений </w:t>
      </w:r>
      <w:r>
        <w:rPr>
          <w:szCs w:val="24"/>
        </w:rPr>
        <w:t>телекоммуникационной инфраструктуры</w:t>
      </w:r>
    </w:p>
    <w:p>
      <w:pPr>
        <w:pStyle w:val="S4"/>
        <w:rPr>
          <w:bCs/>
        </w:rPr>
      </w:pPr>
    </w:p>
    <w:bookmarkEnd w:id="62"/>
    <w:p>
      <w:pPr>
        <w:jc w:val="both"/>
        <w:rPr>
          <w:bCs/>
          <w:szCs w:val="24"/>
          <w:lang w:eastAsia="ru-RU"/>
        </w:rPr>
      </w:pPr>
      <w:r>
        <w:rPr>
          <w:bCs/>
          <w:szCs w:val="24"/>
          <w:lang w:eastAsia="ru-RU"/>
        </w:rPr>
        <w:t>При выборе и проектировании помещений телекоммуникационной инфраструктуры следует принимать во внимание возможные последствия от пожара, наводнения, взрыва, уличных беспорядков и других форм природного или искусственного бедствия. Необходимо рассматривать влияние соседних объектов (помещений) и предусматривать следующее:</w:t>
      </w:r>
    </w:p>
    <w:p>
      <w:pPr>
        <w:numPr>
          <w:ilvl w:val="0"/>
          <w:numId w:val="2"/>
        </w:numPr>
        <w:tabs>
          <w:tab w:val="num" w:pos="540"/>
        </w:tabs>
        <w:spacing w:before="120"/>
        <w:ind w:left="538" w:hanging="357"/>
        <w:jc w:val="both"/>
        <w:rPr>
          <w:szCs w:val="24"/>
        </w:rPr>
      </w:pPr>
      <w:r>
        <w:rPr>
          <w:szCs w:val="24"/>
        </w:rPr>
        <w:t>объект телекоммуникационной инфраструктуры должен быть расположен в местах с ограничением доступа посторонних лиц;</w:t>
      </w:r>
    </w:p>
    <w:p>
      <w:pPr>
        <w:numPr>
          <w:ilvl w:val="0"/>
          <w:numId w:val="2"/>
        </w:numPr>
        <w:tabs>
          <w:tab w:val="num" w:pos="540"/>
        </w:tabs>
        <w:spacing w:before="120"/>
        <w:ind w:left="538" w:hanging="357"/>
        <w:jc w:val="both"/>
        <w:rPr>
          <w:szCs w:val="24"/>
        </w:rPr>
      </w:pPr>
      <w:r>
        <w:rPr>
          <w:bCs/>
          <w:szCs w:val="24"/>
          <w:lang w:eastAsia="ru-RU"/>
        </w:rPr>
        <w:t>помещения т</w:t>
      </w:r>
      <w:r>
        <w:rPr>
          <w:szCs w:val="24"/>
        </w:rPr>
        <w:t xml:space="preserve">елекоммуникационной </w:t>
      </w:r>
      <w:r>
        <w:rPr>
          <w:bCs/>
          <w:szCs w:val="24"/>
          <w:lang w:eastAsia="ru-RU"/>
        </w:rPr>
        <w:t xml:space="preserve">инфраструктуры </w:t>
      </w:r>
      <w:r>
        <w:rPr>
          <w:szCs w:val="24"/>
        </w:rPr>
        <w:t>не должны выделяться на общем фоне и иметь минимальные признаки назначения – не должны иметь наименований вне или внутри здания, по которым можно сделать вывод о выполняемых ими функциях;</w:t>
      </w:r>
    </w:p>
    <w:p>
      <w:pPr>
        <w:numPr>
          <w:ilvl w:val="0"/>
          <w:numId w:val="2"/>
        </w:numPr>
        <w:tabs>
          <w:tab w:val="num" w:pos="540"/>
        </w:tabs>
        <w:spacing w:before="120"/>
        <w:ind w:left="538" w:hanging="357"/>
        <w:jc w:val="both"/>
        <w:rPr>
          <w:szCs w:val="24"/>
        </w:rPr>
      </w:pPr>
      <w:r>
        <w:rPr>
          <w:szCs w:val="24"/>
        </w:rPr>
        <w:t xml:space="preserve">помещения инфраструктуры связи, не предназначенные для постоянного присутствия персонала не должны иметь оконных проемов. В случае наличия окон в </w:t>
      </w:r>
      <w:r>
        <w:rPr>
          <w:bCs/>
          <w:szCs w:val="24"/>
          <w:lang w:eastAsia="ru-RU"/>
        </w:rPr>
        <w:t>помещениях, они, как и двери, должны быть всегда заперты</w:t>
      </w:r>
      <w:r>
        <w:rPr>
          <w:szCs w:val="24"/>
        </w:rPr>
        <w:t xml:space="preserve">, также следует предусмотреть </w:t>
      </w:r>
      <w:r>
        <w:rPr>
          <w:szCs w:val="24"/>
        </w:rPr>
        <w:lastRenderedPageBreak/>
        <w:t>дополнительную внешнюю защиту окон, особенно, низко расположенных или закладку лишних оконных и дверных проемов;</w:t>
      </w:r>
    </w:p>
    <w:p>
      <w:pPr>
        <w:numPr>
          <w:ilvl w:val="0"/>
          <w:numId w:val="2"/>
        </w:numPr>
        <w:tabs>
          <w:tab w:val="num" w:pos="540"/>
        </w:tabs>
        <w:spacing w:before="120"/>
        <w:ind w:left="538" w:hanging="357"/>
        <w:jc w:val="both"/>
        <w:rPr>
          <w:szCs w:val="24"/>
        </w:rPr>
      </w:pPr>
      <w:r>
        <w:rPr>
          <w:szCs w:val="24"/>
        </w:rPr>
        <w:t>в помещения инфраструктуры связи необходимо внедрять системы обнаружения вторжений для внешних дверей и доступных для этого окон, которые должны быть профессионально установлены и регулярно тестироваться в помещениях;</w:t>
      </w:r>
    </w:p>
    <w:p>
      <w:pPr>
        <w:numPr>
          <w:ilvl w:val="0"/>
          <w:numId w:val="2"/>
        </w:numPr>
        <w:tabs>
          <w:tab w:val="num" w:pos="540"/>
        </w:tabs>
        <w:spacing w:before="120"/>
        <w:ind w:left="538" w:hanging="357"/>
        <w:jc w:val="both"/>
        <w:rPr>
          <w:szCs w:val="24"/>
        </w:rPr>
      </w:pPr>
      <w:r>
        <w:rPr>
          <w:szCs w:val="24"/>
        </w:rPr>
        <w:t xml:space="preserve">необходимо физически изолировать средства связи, контролируемые Компанией и используемые третьей стороной в соответствии с </w:t>
      </w:r>
      <w:r>
        <w:t>ГОСТ Р ИСО/МЭК 27002</w:t>
      </w:r>
      <w:r>
        <w:rPr>
          <w:szCs w:val="24"/>
        </w:rPr>
        <w:t>;</w:t>
      </w:r>
    </w:p>
    <w:p>
      <w:pPr>
        <w:numPr>
          <w:ilvl w:val="0"/>
          <w:numId w:val="2"/>
        </w:numPr>
        <w:tabs>
          <w:tab w:val="num" w:pos="540"/>
        </w:tabs>
        <w:spacing w:before="120"/>
        <w:ind w:left="538" w:hanging="357"/>
        <w:jc w:val="both"/>
        <w:rPr>
          <w:szCs w:val="24"/>
        </w:rPr>
      </w:pPr>
      <w:r>
        <w:rPr>
          <w:szCs w:val="24"/>
        </w:rPr>
        <w:t>справочники и внутренние телефонные книги, идентифицирующие местоположение критичного оборудования, не должны быть доступны посторонним лицам;</w:t>
      </w:r>
    </w:p>
    <w:p>
      <w:pPr>
        <w:numPr>
          <w:ilvl w:val="0"/>
          <w:numId w:val="2"/>
        </w:numPr>
        <w:tabs>
          <w:tab w:val="num" w:pos="540"/>
        </w:tabs>
        <w:spacing w:before="120"/>
        <w:ind w:left="538" w:hanging="357"/>
        <w:jc w:val="both"/>
        <w:rPr>
          <w:szCs w:val="24"/>
        </w:rPr>
      </w:pPr>
      <w:r>
        <w:rPr>
          <w:szCs w:val="24"/>
        </w:rPr>
        <w:t>опасные или горючие материалы должны находиться на достаточном расстоянии от помещений инфраструктуры связи.</w:t>
      </w:r>
    </w:p>
    <w:p>
      <w:pPr>
        <w:pStyle w:val="S4"/>
      </w:pPr>
    </w:p>
    <w:p>
      <w:pPr>
        <w:pStyle w:val="S4"/>
      </w:pPr>
      <w:r>
        <w:rPr>
          <w:bCs/>
        </w:rPr>
        <w:t xml:space="preserve">Необходимо учитывать для помещений и объектов </w:t>
      </w:r>
      <w:r>
        <w:t>телекоммуникационной инфраструктуры</w:t>
      </w:r>
      <w:r>
        <w:rPr>
          <w:bCs/>
        </w:rPr>
        <w:t xml:space="preserve"> требования безопасности труда и охраны здоровья, соответствующие Закону РФ «О специальной оценке условий труда» № 426-ФЗ и ГОСТ Р 54934/OHSAS 18001.</w:t>
      </w:r>
    </w:p>
    <w:p>
      <w:pPr>
        <w:pStyle w:val="S4"/>
      </w:pPr>
    </w:p>
    <w:p>
      <w:pPr>
        <w:jc w:val="both"/>
        <w:rPr>
          <w:bCs/>
          <w:szCs w:val="24"/>
          <w:lang w:eastAsia="ru-RU"/>
        </w:rPr>
      </w:pPr>
      <w:bookmarkStart w:id="63" w:name="sub_714"/>
      <w:r>
        <w:rPr>
          <w:bCs/>
          <w:szCs w:val="24"/>
          <w:lang w:eastAsia="ru-RU"/>
        </w:rPr>
        <w:t xml:space="preserve">4.5.4. Выполнение работ на объектах, </w:t>
      </w:r>
      <w:r>
        <w:rPr>
          <w:szCs w:val="24"/>
        </w:rPr>
        <w:t>оборудовании</w:t>
      </w:r>
      <w:r>
        <w:rPr>
          <w:bCs/>
          <w:szCs w:val="24"/>
          <w:lang w:eastAsia="ru-RU"/>
        </w:rPr>
        <w:t xml:space="preserve"> </w:t>
      </w:r>
      <w:r>
        <w:rPr>
          <w:szCs w:val="24"/>
        </w:rPr>
        <w:t>телекоммуникационной инфраструктуры</w:t>
      </w:r>
    </w:p>
    <w:p>
      <w:pPr>
        <w:pStyle w:val="S4"/>
      </w:pPr>
    </w:p>
    <w:bookmarkEnd w:id="63"/>
    <w:p>
      <w:pPr>
        <w:jc w:val="both"/>
        <w:rPr>
          <w:bCs/>
          <w:szCs w:val="24"/>
          <w:lang w:eastAsia="ru-RU"/>
        </w:rPr>
      </w:pPr>
      <w:r>
        <w:rPr>
          <w:bCs/>
          <w:szCs w:val="24"/>
          <w:lang w:eastAsia="ru-RU"/>
        </w:rPr>
        <w:t>Требования к проведению работ на объектах инфраструктуры связи следующие:</w:t>
      </w:r>
    </w:p>
    <w:p>
      <w:pPr>
        <w:numPr>
          <w:ilvl w:val="0"/>
          <w:numId w:val="2"/>
        </w:numPr>
        <w:tabs>
          <w:tab w:val="num" w:pos="540"/>
        </w:tabs>
        <w:spacing w:before="120"/>
        <w:ind w:left="538" w:hanging="357"/>
        <w:jc w:val="both"/>
        <w:rPr>
          <w:szCs w:val="24"/>
        </w:rPr>
      </w:pPr>
      <w:r>
        <w:rPr>
          <w:bCs/>
          <w:szCs w:val="24"/>
          <w:lang w:eastAsia="ru-RU"/>
        </w:rPr>
        <w:t xml:space="preserve">о </w:t>
      </w:r>
      <w:r>
        <w:rPr>
          <w:szCs w:val="24"/>
        </w:rPr>
        <w:t xml:space="preserve">проводимых работах в помещениях инфраструктуры связи должны быть осведомлены лица, которым это необходимо в силу производственной необходимости. Перечень проводимых работ должен быть заранее определен ДИРБП, ДОДЦА, </w:t>
      </w:r>
      <w:r>
        <w:t>СП ОГ, ответственным за ИТ,</w:t>
      </w:r>
      <w:r>
        <w:rPr>
          <w:szCs w:val="24"/>
        </w:rPr>
        <w:t xml:space="preserve"> и согласован СБ. При модернизации и изменениях в помещениях инфраструктуры связи необходимо иметь соответствующую документацию (п. 5 настоящих Методических указаний);</w:t>
      </w:r>
    </w:p>
    <w:p>
      <w:pPr>
        <w:numPr>
          <w:ilvl w:val="0"/>
          <w:numId w:val="2"/>
        </w:numPr>
        <w:tabs>
          <w:tab w:val="num" w:pos="540"/>
        </w:tabs>
        <w:spacing w:before="120"/>
        <w:ind w:left="538" w:hanging="357"/>
        <w:jc w:val="both"/>
        <w:rPr>
          <w:szCs w:val="24"/>
        </w:rPr>
      </w:pPr>
      <w:r>
        <w:rPr>
          <w:szCs w:val="24"/>
        </w:rPr>
        <w:t>на время проведения работ для контроля назначается работник Компании;</w:t>
      </w:r>
    </w:p>
    <w:p>
      <w:pPr>
        <w:numPr>
          <w:ilvl w:val="0"/>
          <w:numId w:val="2"/>
        </w:numPr>
        <w:tabs>
          <w:tab w:val="num" w:pos="540"/>
        </w:tabs>
        <w:spacing w:before="120"/>
        <w:ind w:left="538" w:hanging="357"/>
        <w:jc w:val="both"/>
        <w:rPr>
          <w:szCs w:val="24"/>
        </w:rPr>
      </w:pPr>
      <w:r>
        <w:rPr>
          <w:szCs w:val="24"/>
        </w:rPr>
        <w:t xml:space="preserve">все мероприятия, связанные с проведением работ на инфраструктуре </w:t>
      </w:r>
      <w:r>
        <w:t xml:space="preserve">подрядными (сервисными) </w:t>
      </w:r>
      <w:r>
        <w:rPr>
          <w:szCs w:val="24"/>
        </w:rPr>
        <w:t xml:space="preserve">организациями, для которых определен на время ограниченный авторизованный и контролируемый доступ, осуществляются под контролем работников Компании. Физический доступ вне объектов инфраструктуры связи </w:t>
      </w:r>
      <w:r>
        <w:t xml:space="preserve">подрядным (сервисным) </w:t>
      </w:r>
      <w:r>
        <w:rPr>
          <w:szCs w:val="24"/>
        </w:rPr>
        <w:t>организациям должен быть ограничен;</w:t>
      </w:r>
    </w:p>
    <w:p>
      <w:pPr>
        <w:numPr>
          <w:ilvl w:val="0"/>
          <w:numId w:val="2"/>
        </w:numPr>
        <w:tabs>
          <w:tab w:val="num" w:pos="540"/>
        </w:tabs>
        <w:spacing w:before="120"/>
        <w:ind w:left="538" w:hanging="357"/>
        <w:jc w:val="both"/>
        <w:rPr>
          <w:szCs w:val="24"/>
        </w:rPr>
      </w:pPr>
      <w:r>
        <w:rPr>
          <w:szCs w:val="24"/>
        </w:rPr>
        <w:t>использование фото, видео, аудио или другого записывающего оборудования разрешается только при получении письменного разрешения СБ. Использование такого оборудования без разрешения запрещено.</w:t>
      </w:r>
    </w:p>
    <w:p>
      <w:pPr>
        <w:pStyle w:val="S4"/>
      </w:pPr>
    </w:p>
    <w:p>
      <w:pPr>
        <w:jc w:val="both"/>
        <w:rPr>
          <w:bCs/>
          <w:szCs w:val="24"/>
          <w:lang w:eastAsia="ru-RU"/>
        </w:rPr>
      </w:pPr>
      <w:bookmarkStart w:id="64" w:name="sub_732"/>
      <w:r>
        <w:rPr>
          <w:bCs/>
          <w:szCs w:val="24"/>
          <w:lang w:eastAsia="ru-RU"/>
        </w:rPr>
        <w:t xml:space="preserve">4.5.5. Организация перемещения оборудования </w:t>
      </w:r>
      <w:r>
        <w:rPr>
          <w:szCs w:val="24"/>
        </w:rPr>
        <w:t>телекоммуникационной инфраструктуры</w:t>
      </w:r>
    </w:p>
    <w:p>
      <w:pPr>
        <w:jc w:val="both"/>
        <w:rPr>
          <w:bCs/>
          <w:szCs w:val="24"/>
          <w:lang w:eastAsia="ru-RU"/>
        </w:rPr>
      </w:pPr>
    </w:p>
    <w:bookmarkEnd w:id="64"/>
    <w:p>
      <w:pPr>
        <w:jc w:val="both"/>
        <w:rPr>
          <w:bCs/>
          <w:szCs w:val="24"/>
          <w:lang w:eastAsia="ru-RU"/>
        </w:rPr>
      </w:pPr>
      <w:r>
        <w:rPr>
          <w:bCs/>
          <w:szCs w:val="24"/>
          <w:lang w:eastAsia="ru-RU"/>
        </w:rPr>
        <w:t xml:space="preserve">Перемещение оборудования инфраструктуры связи как внутри помещений телекоммуникационной инфраструктуры, так и вынос его из помещений должен осуществляться только на основании соответствующих разрешений материально-ответственных лиц, </w:t>
      </w:r>
      <w:r>
        <w:rPr>
          <w:szCs w:val="24"/>
        </w:rPr>
        <w:t xml:space="preserve">ДИРБП, ДОДЦА, </w:t>
      </w:r>
      <w:r>
        <w:t xml:space="preserve">СП ОГ, ответственным за ИТ, </w:t>
      </w:r>
      <w:r>
        <w:rPr>
          <w:bCs/>
          <w:szCs w:val="24"/>
          <w:lang w:eastAsia="ru-RU"/>
        </w:rPr>
        <w:t>и по согласованию СБ. Любое перемещение оборудования следует регистрировать. Для этого на объектах инфраструктуры связи необходимо вести журнал наличия и движения оборудования (</w:t>
      </w:r>
      <w:hyperlink w:anchor="_ПРИЛОЖЕНИЕ_1._ФОРМЫ" w:history="1">
        <w:r>
          <w:rPr>
            <w:rStyle w:val="aa"/>
          </w:rPr>
          <w:t>Приложение 1</w:t>
        </w:r>
      </w:hyperlink>
      <w:r>
        <w:t xml:space="preserve">) </w:t>
      </w:r>
      <w:r>
        <w:rPr>
          <w:bCs/>
          <w:szCs w:val="24"/>
          <w:lang w:eastAsia="ru-RU"/>
        </w:rPr>
        <w:t>или / и в централизованном электронном журнале учёта оборудования с сохранением истории перемещений и ремонта. В журналах требуется указывать следующие данные: откуда и куда перемещается оборудование, дату, причину, фамилию, имя, отчество исполнителя демонтажа/монтажа или ремонта, фамилию, имя, отчество материально-</w:t>
      </w:r>
      <w:r>
        <w:rPr>
          <w:bCs/>
          <w:szCs w:val="24"/>
          <w:lang w:eastAsia="ru-RU"/>
        </w:rPr>
        <w:lastRenderedPageBreak/>
        <w:t>ответственного лица. Электронный журнал должен поддерживать функцию автоматического информирования материально-ответственного лица по электронной почте. С целью выявления неавторизованных перемещений оборудования следует проводить выборочную инвентаризацию в соответствии с Методическими указаниями по инвентаризации имущества и финансовых обязательств. Работники должны быть осведомлены о подобных проверках.</w:t>
      </w:r>
    </w:p>
    <w:p>
      <w:pPr>
        <w:jc w:val="both"/>
        <w:rPr>
          <w:bCs/>
          <w:szCs w:val="24"/>
          <w:lang w:eastAsia="ru-RU"/>
        </w:rPr>
      </w:pPr>
    </w:p>
    <w:p>
      <w:pPr>
        <w:jc w:val="both"/>
        <w:rPr>
          <w:bCs/>
          <w:szCs w:val="24"/>
          <w:lang w:eastAsia="ru-RU"/>
        </w:rPr>
      </w:pPr>
      <w:bookmarkStart w:id="65" w:name="sub_702"/>
      <w:r>
        <w:rPr>
          <w:bCs/>
          <w:szCs w:val="24"/>
          <w:lang w:eastAsia="ru-RU"/>
        </w:rPr>
        <w:t>4.6. Безопасность оборудования инфраструктуры связи</w:t>
      </w:r>
    </w:p>
    <w:p>
      <w:pPr>
        <w:jc w:val="both"/>
        <w:rPr>
          <w:bCs/>
          <w:szCs w:val="24"/>
          <w:lang w:eastAsia="ru-RU"/>
        </w:rPr>
      </w:pPr>
    </w:p>
    <w:bookmarkEnd w:id="65"/>
    <w:p>
      <w:pPr>
        <w:jc w:val="both"/>
        <w:rPr>
          <w:bCs/>
          <w:szCs w:val="24"/>
          <w:lang w:eastAsia="ru-RU"/>
        </w:rPr>
      </w:pPr>
      <w:r>
        <w:rPr>
          <w:bCs/>
          <w:szCs w:val="24"/>
          <w:lang w:eastAsia="ru-RU"/>
        </w:rPr>
        <w:t xml:space="preserve">Необходимо обеспечить безопасность оборудования, включая и то, что используется для обеспечения процессов телекоммуникационной инфраструктуры вне периметра Компании. Оборудование является безопасным, если предотвращены возможности нанесения работникам и авторизованному персоналу травм и повреждений вследствие следующих факторов: поражение электрическим током; энергетическая опасность; воспламеняемость; тепловая опасность; механическая опасность; опасность излучения; химическая опасность, в соответствии с </w:t>
      </w:r>
      <w:r>
        <w:t>ГОСТ Р МЭК 60950 и ГОСТ ЕН 1070</w:t>
      </w:r>
      <w:r>
        <w:rPr>
          <w:bCs/>
          <w:szCs w:val="24"/>
          <w:lang w:eastAsia="ru-RU"/>
        </w:rPr>
        <w:t>.</w:t>
      </w:r>
    </w:p>
    <w:p>
      <w:pPr>
        <w:jc w:val="both"/>
        <w:rPr>
          <w:bCs/>
          <w:szCs w:val="24"/>
          <w:lang w:eastAsia="ru-RU"/>
        </w:rPr>
      </w:pPr>
    </w:p>
    <w:p>
      <w:pPr>
        <w:jc w:val="both"/>
        <w:rPr>
          <w:bCs/>
          <w:szCs w:val="24"/>
          <w:lang w:eastAsia="ru-RU"/>
        </w:rPr>
      </w:pPr>
      <w:r>
        <w:rPr>
          <w:bCs/>
          <w:szCs w:val="24"/>
          <w:lang w:eastAsia="ru-RU"/>
        </w:rPr>
        <w:t>Следует принимать во внимание особенности, связанные с расположением оборудования и возможным его перемещением. Специальные мероприятия защиты от опасных воздействий среды или неавторизованного доступа к средствам связи через инженерные системы должны определяться на этапе проектирования специальными техническими условиями (п. 5.3 настоящих Методических указаний).</w:t>
      </w:r>
    </w:p>
    <w:p>
      <w:pPr>
        <w:jc w:val="both"/>
        <w:rPr>
          <w:bCs/>
          <w:szCs w:val="24"/>
          <w:lang w:eastAsia="ru-RU"/>
        </w:rPr>
      </w:pPr>
    </w:p>
    <w:p>
      <w:pPr>
        <w:jc w:val="both"/>
        <w:rPr>
          <w:bCs/>
          <w:szCs w:val="24"/>
          <w:lang w:eastAsia="ru-RU"/>
        </w:rPr>
      </w:pPr>
      <w:bookmarkStart w:id="66" w:name="sub_721"/>
      <w:r>
        <w:rPr>
          <w:bCs/>
          <w:szCs w:val="24"/>
          <w:lang w:eastAsia="ru-RU"/>
        </w:rPr>
        <w:t>4.6.1. Расположение оборудования инфраструктуры связи</w:t>
      </w:r>
    </w:p>
    <w:p>
      <w:pPr>
        <w:jc w:val="both"/>
        <w:rPr>
          <w:bCs/>
          <w:szCs w:val="24"/>
          <w:lang w:eastAsia="ru-RU"/>
        </w:rPr>
      </w:pPr>
    </w:p>
    <w:bookmarkEnd w:id="66"/>
    <w:p>
      <w:pPr>
        <w:jc w:val="both"/>
        <w:rPr>
          <w:bCs/>
          <w:szCs w:val="24"/>
          <w:lang w:eastAsia="ru-RU"/>
        </w:rPr>
      </w:pPr>
      <w:r>
        <w:rPr>
          <w:bCs/>
          <w:szCs w:val="24"/>
          <w:lang w:eastAsia="ru-RU"/>
        </w:rPr>
        <w:t>Оборудование должно быть расположено и защищено так,</w:t>
      </w:r>
      <w:r>
        <w:t xml:space="preserve"> чтобы уменьшить риски от воздействий </w:t>
      </w:r>
      <w:r>
        <w:rPr>
          <w:bCs/>
          <w:szCs w:val="24"/>
          <w:lang w:eastAsia="ru-RU"/>
        </w:rPr>
        <w:t>окружающей среды и возможности неавторизованного доступа. Необходимо обеспечить проведение следующих мероприятий:</w:t>
      </w:r>
    </w:p>
    <w:p>
      <w:pPr>
        <w:numPr>
          <w:ilvl w:val="0"/>
          <w:numId w:val="2"/>
        </w:numPr>
        <w:tabs>
          <w:tab w:val="num" w:pos="540"/>
        </w:tabs>
        <w:spacing w:before="120"/>
        <w:ind w:left="538" w:hanging="357"/>
        <w:jc w:val="both"/>
        <w:rPr>
          <w:szCs w:val="24"/>
        </w:rPr>
      </w:pPr>
      <w:bookmarkStart w:id="67" w:name="sub_7211"/>
      <w:r>
        <w:rPr>
          <w:szCs w:val="24"/>
        </w:rPr>
        <w:t>оборудование инфраструктуры связи необходимо размещать таким образом, чтобы свести до минимума лишний доступ в места его размещения;</w:t>
      </w:r>
    </w:p>
    <w:p>
      <w:pPr>
        <w:numPr>
          <w:ilvl w:val="0"/>
          <w:numId w:val="2"/>
        </w:numPr>
        <w:tabs>
          <w:tab w:val="num" w:pos="540"/>
        </w:tabs>
        <w:spacing w:before="120"/>
        <w:ind w:left="538" w:hanging="357"/>
        <w:jc w:val="both"/>
        <w:rPr>
          <w:szCs w:val="24"/>
        </w:rPr>
      </w:pPr>
      <w:bookmarkStart w:id="68" w:name="sub_7212"/>
      <w:bookmarkEnd w:id="67"/>
      <w:r>
        <w:rPr>
          <w:szCs w:val="24"/>
        </w:rPr>
        <w:t>оборудование следует размещать так, чтобы уменьшить риск несанкционированного наблюдения за его функционированием;</w:t>
      </w:r>
    </w:p>
    <w:p>
      <w:pPr>
        <w:numPr>
          <w:ilvl w:val="0"/>
          <w:numId w:val="2"/>
        </w:numPr>
        <w:tabs>
          <w:tab w:val="num" w:pos="540"/>
        </w:tabs>
        <w:spacing w:before="120"/>
        <w:ind w:left="538" w:hanging="357"/>
        <w:jc w:val="both"/>
        <w:rPr>
          <w:szCs w:val="24"/>
        </w:rPr>
      </w:pPr>
      <w:r>
        <w:rPr>
          <w:szCs w:val="24"/>
        </w:rPr>
        <w:t>оборудование по возможности следует размещать на максимальном удалении от внешних стен здания;</w:t>
      </w:r>
    </w:p>
    <w:p>
      <w:pPr>
        <w:numPr>
          <w:ilvl w:val="0"/>
          <w:numId w:val="2"/>
        </w:numPr>
        <w:tabs>
          <w:tab w:val="num" w:pos="540"/>
        </w:tabs>
        <w:spacing w:before="120"/>
        <w:ind w:left="538" w:hanging="357"/>
        <w:jc w:val="both"/>
        <w:rPr>
          <w:szCs w:val="24"/>
        </w:rPr>
      </w:pPr>
      <w:bookmarkStart w:id="69" w:name="sub_7213"/>
      <w:bookmarkEnd w:id="68"/>
      <w:r>
        <w:rPr>
          <w:szCs w:val="24"/>
        </w:rPr>
        <w:t>отдельные элементы оборудования, требующие специальной защиты, необходимо изолировать, чтобы повысить общий уровень необходимой защиты;</w:t>
      </w:r>
    </w:p>
    <w:p>
      <w:pPr>
        <w:numPr>
          <w:ilvl w:val="0"/>
          <w:numId w:val="2"/>
        </w:numPr>
        <w:tabs>
          <w:tab w:val="num" w:pos="540"/>
        </w:tabs>
        <w:spacing w:before="120"/>
        <w:ind w:left="538" w:hanging="357"/>
        <w:jc w:val="both"/>
        <w:rPr>
          <w:szCs w:val="24"/>
        </w:rPr>
      </w:pPr>
      <w:bookmarkStart w:id="70" w:name="sub_7214"/>
      <w:bookmarkEnd w:id="69"/>
      <w:r>
        <w:rPr>
          <w:szCs w:val="24"/>
        </w:rPr>
        <w:t>меры безопасности телекоммуникационной инфраструктуры должны свести к минимуму риск угроз безопасности телекоммуникационной инфраструктуры, включая:</w:t>
      </w:r>
    </w:p>
    <w:p>
      <w:pPr>
        <w:numPr>
          <w:ilvl w:val="0"/>
          <w:numId w:val="16"/>
        </w:numPr>
        <w:tabs>
          <w:tab w:val="clear" w:pos="2204"/>
          <w:tab w:val="num" w:pos="539"/>
        </w:tabs>
        <w:spacing w:before="120"/>
        <w:ind w:left="896" w:hanging="357"/>
        <w:jc w:val="both"/>
        <w:rPr>
          <w:szCs w:val="24"/>
        </w:rPr>
      </w:pPr>
      <w:bookmarkStart w:id="71" w:name="sub_72141"/>
      <w:bookmarkEnd w:id="70"/>
      <w:r>
        <w:rPr>
          <w:szCs w:val="24"/>
        </w:rPr>
        <w:t>воровство;</w:t>
      </w:r>
    </w:p>
    <w:p>
      <w:pPr>
        <w:numPr>
          <w:ilvl w:val="0"/>
          <w:numId w:val="16"/>
        </w:numPr>
        <w:tabs>
          <w:tab w:val="clear" w:pos="2204"/>
          <w:tab w:val="num" w:pos="539"/>
        </w:tabs>
        <w:spacing w:before="120"/>
        <w:ind w:left="896" w:hanging="357"/>
        <w:jc w:val="both"/>
        <w:rPr>
          <w:szCs w:val="24"/>
        </w:rPr>
      </w:pPr>
      <w:bookmarkStart w:id="72" w:name="sub_72142"/>
      <w:bookmarkEnd w:id="71"/>
      <w:r>
        <w:rPr>
          <w:szCs w:val="24"/>
        </w:rPr>
        <w:t>задымление и/или пожар;</w:t>
      </w:r>
    </w:p>
    <w:p>
      <w:pPr>
        <w:numPr>
          <w:ilvl w:val="0"/>
          <w:numId w:val="16"/>
        </w:numPr>
        <w:tabs>
          <w:tab w:val="clear" w:pos="2204"/>
          <w:tab w:val="num" w:pos="539"/>
        </w:tabs>
        <w:spacing w:before="120"/>
        <w:ind w:left="896" w:hanging="357"/>
        <w:jc w:val="both"/>
        <w:rPr>
          <w:szCs w:val="24"/>
        </w:rPr>
      </w:pPr>
      <w:r>
        <w:rPr>
          <w:szCs w:val="24"/>
        </w:rPr>
        <w:t>перегрев оборудования;</w:t>
      </w:r>
    </w:p>
    <w:p>
      <w:pPr>
        <w:numPr>
          <w:ilvl w:val="0"/>
          <w:numId w:val="16"/>
        </w:numPr>
        <w:tabs>
          <w:tab w:val="clear" w:pos="2204"/>
          <w:tab w:val="num" w:pos="539"/>
        </w:tabs>
        <w:spacing w:before="120"/>
        <w:ind w:left="896" w:hanging="357"/>
        <w:jc w:val="both"/>
        <w:rPr>
          <w:szCs w:val="24"/>
        </w:rPr>
      </w:pPr>
      <w:bookmarkStart w:id="73" w:name="sub_72143"/>
      <w:bookmarkEnd w:id="72"/>
      <w:r>
        <w:rPr>
          <w:szCs w:val="24"/>
        </w:rPr>
        <w:t>взрыв;</w:t>
      </w:r>
    </w:p>
    <w:p>
      <w:pPr>
        <w:numPr>
          <w:ilvl w:val="0"/>
          <w:numId w:val="16"/>
        </w:numPr>
        <w:tabs>
          <w:tab w:val="clear" w:pos="2204"/>
          <w:tab w:val="num" w:pos="539"/>
        </w:tabs>
        <w:spacing w:before="120"/>
        <w:ind w:left="896" w:hanging="357"/>
        <w:jc w:val="both"/>
        <w:rPr>
          <w:szCs w:val="24"/>
        </w:rPr>
      </w:pPr>
      <w:bookmarkStart w:id="74" w:name="sub_72145"/>
      <w:bookmarkEnd w:id="73"/>
      <w:r>
        <w:rPr>
          <w:szCs w:val="24"/>
        </w:rPr>
        <w:t>затопление (или перебои в подаче воды);</w:t>
      </w:r>
    </w:p>
    <w:p>
      <w:pPr>
        <w:numPr>
          <w:ilvl w:val="0"/>
          <w:numId w:val="16"/>
        </w:numPr>
        <w:tabs>
          <w:tab w:val="clear" w:pos="2204"/>
          <w:tab w:val="num" w:pos="539"/>
        </w:tabs>
        <w:spacing w:before="120"/>
        <w:ind w:left="896" w:hanging="357"/>
        <w:jc w:val="both"/>
        <w:rPr>
          <w:szCs w:val="24"/>
        </w:rPr>
      </w:pPr>
      <w:bookmarkStart w:id="75" w:name="sub_72146"/>
      <w:bookmarkEnd w:id="74"/>
      <w:r>
        <w:rPr>
          <w:szCs w:val="24"/>
        </w:rPr>
        <w:t>пыль;</w:t>
      </w:r>
    </w:p>
    <w:p>
      <w:pPr>
        <w:numPr>
          <w:ilvl w:val="0"/>
          <w:numId w:val="16"/>
        </w:numPr>
        <w:tabs>
          <w:tab w:val="clear" w:pos="2204"/>
          <w:tab w:val="num" w:pos="539"/>
        </w:tabs>
        <w:spacing w:before="120"/>
        <w:ind w:left="896" w:hanging="357"/>
        <w:jc w:val="both"/>
        <w:rPr>
          <w:szCs w:val="24"/>
        </w:rPr>
      </w:pPr>
      <w:bookmarkStart w:id="76" w:name="sub_72147"/>
      <w:bookmarkEnd w:id="75"/>
      <w:r>
        <w:rPr>
          <w:szCs w:val="24"/>
        </w:rPr>
        <w:t>вибрацию;</w:t>
      </w:r>
    </w:p>
    <w:p>
      <w:pPr>
        <w:numPr>
          <w:ilvl w:val="0"/>
          <w:numId w:val="16"/>
        </w:numPr>
        <w:tabs>
          <w:tab w:val="clear" w:pos="2204"/>
          <w:tab w:val="num" w:pos="539"/>
        </w:tabs>
        <w:spacing w:before="120"/>
        <w:ind w:left="896" w:hanging="357"/>
        <w:jc w:val="both"/>
        <w:rPr>
          <w:szCs w:val="24"/>
        </w:rPr>
      </w:pPr>
      <w:bookmarkStart w:id="77" w:name="sub_72148"/>
      <w:bookmarkEnd w:id="76"/>
      <w:r>
        <w:rPr>
          <w:szCs w:val="24"/>
        </w:rPr>
        <w:t>химические эффекты;</w:t>
      </w:r>
    </w:p>
    <w:p>
      <w:pPr>
        <w:numPr>
          <w:ilvl w:val="0"/>
          <w:numId w:val="16"/>
        </w:numPr>
        <w:tabs>
          <w:tab w:val="clear" w:pos="2204"/>
          <w:tab w:val="num" w:pos="539"/>
        </w:tabs>
        <w:spacing w:before="120"/>
        <w:ind w:left="896" w:hanging="357"/>
        <w:jc w:val="both"/>
        <w:rPr>
          <w:szCs w:val="24"/>
        </w:rPr>
      </w:pPr>
      <w:bookmarkStart w:id="78" w:name="sub_72149"/>
      <w:bookmarkEnd w:id="77"/>
      <w:r>
        <w:rPr>
          <w:szCs w:val="24"/>
        </w:rPr>
        <w:lastRenderedPageBreak/>
        <w:t>помехи в электроснабжении;</w:t>
      </w:r>
    </w:p>
    <w:p>
      <w:pPr>
        <w:numPr>
          <w:ilvl w:val="0"/>
          <w:numId w:val="16"/>
        </w:numPr>
        <w:tabs>
          <w:tab w:val="clear" w:pos="2204"/>
          <w:tab w:val="num" w:pos="539"/>
        </w:tabs>
        <w:spacing w:before="120"/>
        <w:ind w:left="896" w:hanging="357"/>
        <w:jc w:val="both"/>
        <w:rPr>
          <w:szCs w:val="24"/>
        </w:rPr>
      </w:pPr>
      <w:bookmarkStart w:id="79" w:name="sub_721410"/>
      <w:bookmarkEnd w:id="78"/>
      <w:r>
        <w:rPr>
          <w:szCs w:val="24"/>
        </w:rPr>
        <w:t>электромагнитное излучение.</w:t>
      </w:r>
    </w:p>
    <w:p>
      <w:pPr>
        <w:numPr>
          <w:ilvl w:val="0"/>
          <w:numId w:val="2"/>
        </w:numPr>
        <w:tabs>
          <w:tab w:val="num" w:pos="540"/>
        </w:tabs>
        <w:spacing w:before="120"/>
        <w:ind w:left="538" w:hanging="357"/>
        <w:jc w:val="both"/>
        <w:rPr>
          <w:szCs w:val="24"/>
        </w:rPr>
      </w:pPr>
      <w:bookmarkStart w:id="80" w:name="sub_7215"/>
      <w:bookmarkEnd w:id="79"/>
      <w:r>
        <w:rPr>
          <w:szCs w:val="24"/>
        </w:rPr>
        <w:t>запрещается в помещениях инфраструктуры связи осуществлять прием пищи, напитков и курение;</w:t>
      </w:r>
    </w:p>
    <w:p>
      <w:pPr>
        <w:numPr>
          <w:ilvl w:val="0"/>
          <w:numId w:val="2"/>
        </w:numPr>
        <w:tabs>
          <w:tab w:val="num" w:pos="540"/>
        </w:tabs>
        <w:spacing w:before="120"/>
        <w:ind w:left="538" w:hanging="357"/>
        <w:jc w:val="both"/>
        <w:rPr>
          <w:szCs w:val="24"/>
        </w:rPr>
      </w:pPr>
      <w:bookmarkStart w:id="81" w:name="sub_7218"/>
      <w:bookmarkEnd w:id="80"/>
      <w:r>
        <w:rPr>
          <w:szCs w:val="24"/>
        </w:rPr>
        <w:t>необходимо разработать меры по ликвидации различных последствий от бедствий, (пожар, затопление, протекание воды, взрыв на улице и др.) и своевременно доводить их до работников и авторизованного персонала.</w:t>
      </w:r>
    </w:p>
    <w:p>
      <w:pPr>
        <w:pStyle w:val="S4"/>
      </w:pPr>
    </w:p>
    <w:p>
      <w:pPr>
        <w:jc w:val="both"/>
        <w:rPr>
          <w:bCs/>
          <w:szCs w:val="24"/>
          <w:lang w:eastAsia="ru-RU"/>
        </w:rPr>
      </w:pPr>
      <w:bookmarkStart w:id="82" w:name="sub_722"/>
      <w:bookmarkEnd w:id="81"/>
      <w:r>
        <w:rPr>
          <w:bCs/>
          <w:szCs w:val="24"/>
          <w:lang w:eastAsia="ru-RU"/>
        </w:rPr>
        <w:t>4.6.2. Требования к СЭ</w:t>
      </w:r>
    </w:p>
    <w:p>
      <w:pPr>
        <w:jc w:val="both"/>
        <w:rPr>
          <w:bCs/>
          <w:szCs w:val="24"/>
          <w:lang w:eastAsia="ru-RU"/>
        </w:rPr>
      </w:pPr>
    </w:p>
    <w:bookmarkEnd w:id="82"/>
    <w:p>
      <w:pPr>
        <w:jc w:val="both"/>
        <w:rPr>
          <w:bCs/>
          <w:szCs w:val="24"/>
          <w:lang w:eastAsia="ru-RU"/>
        </w:rPr>
      </w:pPr>
      <w:r>
        <w:rPr>
          <w:bCs/>
          <w:szCs w:val="24"/>
          <w:lang w:eastAsia="ru-RU"/>
        </w:rPr>
        <w:t>Оборудование необходимо защищать от перебоев в подаче электроэнергии и других сбоев, связанных с электричеством. Необходимо обеспечивать гарантированную подачу электропитания, соответствующую спецификациям производителя оборудования.</w:t>
      </w:r>
    </w:p>
    <w:p>
      <w:pPr>
        <w:jc w:val="both"/>
        <w:rPr>
          <w:bCs/>
          <w:szCs w:val="24"/>
          <w:lang w:eastAsia="ru-RU"/>
        </w:rPr>
      </w:pPr>
    </w:p>
    <w:p>
      <w:pPr>
        <w:jc w:val="both"/>
        <w:rPr>
          <w:bCs/>
          <w:szCs w:val="24"/>
          <w:lang w:eastAsia="ru-RU"/>
        </w:rPr>
      </w:pPr>
      <w:r>
        <w:rPr>
          <w:bCs/>
          <w:szCs w:val="24"/>
          <w:lang w:eastAsia="ru-RU"/>
        </w:rPr>
        <w:t>Непрерывность электропитания достигается:</w:t>
      </w:r>
    </w:p>
    <w:p>
      <w:pPr>
        <w:numPr>
          <w:ilvl w:val="0"/>
          <w:numId w:val="2"/>
        </w:numPr>
        <w:tabs>
          <w:tab w:val="num" w:pos="540"/>
        </w:tabs>
        <w:spacing w:before="120"/>
        <w:ind w:left="538" w:hanging="357"/>
        <w:jc w:val="both"/>
        <w:rPr>
          <w:szCs w:val="24"/>
        </w:rPr>
      </w:pPr>
      <w:r>
        <w:rPr>
          <w:szCs w:val="24"/>
        </w:rPr>
        <w:t>наличием нескольких источников электропитания, чтобы избежать последствий при нарушении подачи от единственного источника;</w:t>
      </w:r>
    </w:p>
    <w:p>
      <w:pPr>
        <w:numPr>
          <w:ilvl w:val="0"/>
          <w:numId w:val="2"/>
        </w:numPr>
        <w:tabs>
          <w:tab w:val="num" w:pos="540"/>
        </w:tabs>
        <w:spacing w:before="120"/>
        <w:ind w:left="538" w:hanging="357"/>
        <w:jc w:val="both"/>
        <w:rPr>
          <w:szCs w:val="24"/>
        </w:rPr>
      </w:pPr>
      <w:r>
        <w:rPr>
          <w:szCs w:val="24"/>
        </w:rPr>
        <w:t xml:space="preserve">резервный генератор и/или </w:t>
      </w:r>
      <w:r>
        <w:rPr>
          <w:bCs/>
          <w:szCs w:val="24"/>
          <w:lang w:eastAsia="ru-RU"/>
        </w:rPr>
        <w:t>ДГУ</w:t>
      </w:r>
      <w:r>
        <w:rPr>
          <w:szCs w:val="24"/>
        </w:rPr>
        <w:t>.</w:t>
      </w:r>
    </w:p>
    <w:p>
      <w:pPr>
        <w:pStyle w:val="S4"/>
      </w:pPr>
    </w:p>
    <w:p>
      <w:pPr>
        <w:jc w:val="both"/>
        <w:rPr>
          <w:bCs/>
          <w:szCs w:val="24"/>
          <w:lang w:eastAsia="ru-RU"/>
        </w:rPr>
      </w:pPr>
      <w:r>
        <w:rPr>
          <w:bCs/>
          <w:szCs w:val="24"/>
          <w:lang w:eastAsia="ru-RU"/>
        </w:rPr>
        <w:t xml:space="preserve">Для обеспечения безопасного выключения и/или непрерывного функционирования оборудование необходимо подключать через ИБП. Для обеспечения непрерывности следует предусматривать действия при отказе ИБП. ИБП следует регулярно проверять на наличие адекватной мощности и времени функционирования в соответствии с </w:t>
      </w:r>
      <w:hyperlink w:anchor="_ПРИЛОЖЕНИЕ_2._ТРЕБОВАНИЯ" w:history="1">
        <w:r>
          <w:rPr>
            <w:rStyle w:val="aa"/>
          </w:rPr>
          <w:t>Приложением 2</w:t>
        </w:r>
      </w:hyperlink>
      <w:r>
        <w:t>,</w:t>
      </w:r>
      <w:r>
        <w:rPr>
          <w:bCs/>
          <w:szCs w:val="24"/>
          <w:lang w:eastAsia="ru-RU"/>
        </w:rPr>
        <w:t xml:space="preserve"> а также тестировать с учетом рекомендаций производителя, но не реже чем 2 раза в год.</w:t>
      </w:r>
    </w:p>
    <w:p>
      <w:pPr>
        <w:jc w:val="both"/>
        <w:rPr>
          <w:bCs/>
          <w:szCs w:val="24"/>
          <w:lang w:eastAsia="ru-RU"/>
        </w:rPr>
      </w:pPr>
    </w:p>
    <w:p>
      <w:pPr>
        <w:jc w:val="both"/>
        <w:rPr>
          <w:bCs/>
          <w:szCs w:val="24"/>
          <w:lang w:eastAsia="ru-RU"/>
        </w:rPr>
      </w:pPr>
      <w:r>
        <w:rPr>
          <w:bCs/>
          <w:szCs w:val="24"/>
          <w:lang w:eastAsia="ru-RU"/>
        </w:rPr>
        <w:t xml:space="preserve">Резервный генератор и/или ДГУ необходимо применять для обеспечения функционирования оборудования в случае длительного отказа подачи электроэнергии от общего источника в соответствии с </w:t>
      </w:r>
      <w:hyperlink w:anchor="_ПРИЛОЖЕНИЕ_2._ТРЕБОВАНИЯ" w:history="1">
        <w:r>
          <w:rPr>
            <w:rStyle w:val="aa"/>
          </w:rPr>
          <w:t>Приложением 2</w:t>
        </w:r>
      </w:hyperlink>
      <w:r>
        <w:t>,</w:t>
      </w:r>
      <w:r>
        <w:rPr>
          <w:bCs/>
          <w:szCs w:val="24"/>
          <w:lang w:eastAsia="ru-RU"/>
        </w:rPr>
        <w:t xml:space="preserve"> на определенных объектах Компании, объектах телекоммуникационной инфраструктуры на которых существует вероятность отсутствия промышленной сети. Резервные генераторы и ДГУ следует регулярно проверять в соответствии с инструкциями производителя. Для обеспечения работы генератора в течение длительного времени необходимо обеспечить соответствующее обеспечение топливом.</w:t>
      </w:r>
    </w:p>
    <w:p>
      <w:pPr>
        <w:jc w:val="both"/>
        <w:rPr>
          <w:bCs/>
          <w:szCs w:val="24"/>
          <w:lang w:eastAsia="ru-RU"/>
        </w:rPr>
      </w:pPr>
    </w:p>
    <w:p>
      <w:pPr>
        <w:jc w:val="both"/>
        <w:rPr>
          <w:bCs/>
          <w:szCs w:val="24"/>
          <w:lang w:eastAsia="ru-RU"/>
        </w:rPr>
      </w:pPr>
      <w:r>
        <w:rPr>
          <w:bCs/>
          <w:szCs w:val="24"/>
          <w:lang w:eastAsia="ru-RU"/>
        </w:rPr>
        <w:t>Аварийные выключатели электропитания необходимо располагать около запасных выходов помещений, где расположено оборудование, чтобы ускорить отключение электропитания в случае критических ситуаций. Аварийное освещение обеспечивается дополнительным источником электропитания (постоянного или переменного тока) для обеспечения бесперебойной работоспособности на случай отказа. Все здания Компании должны быть оснащены громоотводами, а все внешние линии связи оборудованы специальными грозозащитными фильтрами.</w:t>
      </w:r>
    </w:p>
    <w:p>
      <w:pPr>
        <w:jc w:val="both"/>
        <w:rPr>
          <w:bCs/>
          <w:szCs w:val="24"/>
          <w:lang w:eastAsia="ru-RU"/>
        </w:rPr>
      </w:pPr>
    </w:p>
    <w:p>
      <w:pPr>
        <w:jc w:val="both"/>
        <w:rPr>
          <w:bCs/>
          <w:szCs w:val="24"/>
          <w:lang w:eastAsia="ru-RU"/>
        </w:rPr>
      </w:pPr>
      <w:bookmarkStart w:id="83" w:name="sub_723"/>
      <w:r>
        <w:rPr>
          <w:bCs/>
          <w:szCs w:val="24"/>
          <w:lang w:eastAsia="ru-RU"/>
        </w:rPr>
        <w:t>4.6.3. Безопасность кабельной сети</w:t>
      </w:r>
    </w:p>
    <w:p>
      <w:pPr>
        <w:jc w:val="both"/>
        <w:rPr>
          <w:bCs/>
          <w:szCs w:val="24"/>
          <w:lang w:eastAsia="ru-RU"/>
        </w:rPr>
      </w:pPr>
    </w:p>
    <w:bookmarkEnd w:id="83"/>
    <w:p>
      <w:pPr>
        <w:jc w:val="both"/>
        <w:rPr>
          <w:bCs/>
          <w:szCs w:val="24"/>
          <w:lang w:eastAsia="ru-RU"/>
        </w:rPr>
      </w:pPr>
      <w:r>
        <w:rPr>
          <w:bCs/>
          <w:szCs w:val="24"/>
          <w:lang w:eastAsia="ru-RU"/>
        </w:rPr>
        <w:t>Телекоммуникационные кабельные сети, по которым передаются данные, предоставляются информационные услуги, необходимо защищать от перехвата информации или повреждения. Силовые кабельные сети необходимо защищать от перехвата информации или повреждения. Необходимо рассматривать следующие мероприятия:</w:t>
      </w:r>
    </w:p>
    <w:p>
      <w:pPr>
        <w:numPr>
          <w:ilvl w:val="0"/>
          <w:numId w:val="2"/>
        </w:numPr>
        <w:tabs>
          <w:tab w:val="num" w:pos="540"/>
        </w:tabs>
        <w:spacing w:before="120"/>
        <w:ind w:left="538" w:hanging="357"/>
        <w:jc w:val="both"/>
        <w:rPr>
          <w:szCs w:val="24"/>
        </w:rPr>
      </w:pPr>
      <w:bookmarkStart w:id="84" w:name="sub_7231"/>
      <w:r>
        <w:rPr>
          <w:szCs w:val="24"/>
        </w:rPr>
        <w:t xml:space="preserve">силовые и телекоммуникационные линии, связывающие объекты телекоммуникационной инфраструктуры, должны быть, по возможности, подземными </w:t>
      </w:r>
      <w:r>
        <w:rPr>
          <w:szCs w:val="24"/>
        </w:rPr>
        <w:lastRenderedPageBreak/>
        <w:t>и в соответствии с п.</w:t>
      </w:r>
      <w:r>
        <w:rPr>
          <w:szCs w:val="24"/>
          <w:lang w:val="en-US"/>
        </w:rPr>
        <w:t> </w:t>
      </w:r>
      <w:r>
        <w:rPr>
          <w:szCs w:val="24"/>
        </w:rPr>
        <w:t xml:space="preserve">9.2.3 </w:t>
      </w:r>
      <w:r>
        <w:t xml:space="preserve">ГОСТ Р ИСО/МЭК 27002 </w:t>
      </w:r>
      <w:r>
        <w:rPr>
          <w:szCs w:val="24"/>
        </w:rPr>
        <w:t>обладать защитой от прямого доступа злоумышленников и возможного воздействия на них;</w:t>
      </w:r>
    </w:p>
    <w:p>
      <w:pPr>
        <w:numPr>
          <w:ilvl w:val="0"/>
          <w:numId w:val="2"/>
        </w:numPr>
        <w:tabs>
          <w:tab w:val="num" w:pos="540"/>
        </w:tabs>
        <w:spacing w:before="120"/>
        <w:ind w:left="538" w:hanging="357"/>
        <w:jc w:val="both"/>
        <w:rPr>
          <w:szCs w:val="24"/>
        </w:rPr>
      </w:pPr>
      <w:bookmarkStart w:id="85" w:name="sub_7232"/>
      <w:bookmarkEnd w:id="84"/>
      <w:r>
        <w:rPr>
          <w:szCs w:val="24"/>
        </w:rPr>
        <w:t>телекоммуникационные кабели должны быть защищены от неавторизованных подключений или повреждения, например, посредством использования специального кожуха и/или выбора маршрутов прокладки кабеля в обход общедоступных участков;</w:t>
      </w:r>
    </w:p>
    <w:p>
      <w:pPr>
        <w:numPr>
          <w:ilvl w:val="0"/>
          <w:numId w:val="2"/>
        </w:numPr>
        <w:tabs>
          <w:tab w:val="num" w:pos="540"/>
        </w:tabs>
        <w:spacing w:before="120"/>
        <w:ind w:left="538" w:hanging="357"/>
        <w:jc w:val="both"/>
        <w:rPr>
          <w:szCs w:val="24"/>
        </w:rPr>
      </w:pPr>
      <w:bookmarkStart w:id="86" w:name="sub_7233"/>
      <w:bookmarkEnd w:id="85"/>
      <w:r>
        <w:rPr>
          <w:szCs w:val="24"/>
        </w:rPr>
        <w:t xml:space="preserve">силовые кабели от </w:t>
      </w:r>
      <w:r>
        <w:rPr>
          <w:bCs/>
          <w:szCs w:val="24"/>
          <w:lang w:eastAsia="ru-RU"/>
        </w:rPr>
        <w:t>телекоммуникационных</w:t>
      </w:r>
      <w:r>
        <w:rPr>
          <w:szCs w:val="24"/>
        </w:rPr>
        <w:t xml:space="preserve"> должны быть отделены для исключения взаимных помех;</w:t>
      </w:r>
    </w:p>
    <w:p>
      <w:pPr>
        <w:numPr>
          <w:ilvl w:val="0"/>
          <w:numId w:val="2"/>
        </w:numPr>
        <w:tabs>
          <w:tab w:val="num" w:pos="540"/>
        </w:tabs>
        <w:spacing w:before="120"/>
        <w:ind w:left="538" w:hanging="357"/>
        <w:jc w:val="both"/>
        <w:rPr>
          <w:szCs w:val="24"/>
        </w:rPr>
      </w:pPr>
      <w:bookmarkStart w:id="87" w:name="sub_7234"/>
      <w:bookmarkEnd w:id="86"/>
      <w:r>
        <w:rPr>
          <w:szCs w:val="24"/>
        </w:rPr>
        <w:t>дополнительные мероприятия по безопасности должны включать:</w:t>
      </w:r>
    </w:p>
    <w:p>
      <w:pPr>
        <w:numPr>
          <w:ilvl w:val="0"/>
          <w:numId w:val="16"/>
        </w:numPr>
        <w:tabs>
          <w:tab w:val="clear" w:pos="2204"/>
          <w:tab w:val="num" w:pos="539"/>
        </w:tabs>
        <w:spacing w:before="120"/>
        <w:ind w:left="896" w:hanging="357"/>
        <w:jc w:val="both"/>
        <w:rPr>
          <w:szCs w:val="24"/>
        </w:rPr>
      </w:pPr>
      <w:bookmarkStart w:id="88" w:name="sub_72341"/>
      <w:bookmarkEnd w:id="87"/>
      <w:r>
        <w:rPr>
          <w:szCs w:val="24"/>
        </w:rPr>
        <w:t>использование бронированных кожухов, а также закрытых помещений/ящиков в промежуточных пунктах контроля и конечных точках;</w:t>
      </w:r>
    </w:p>
    <w:p>
      <w:pPr>
        <w:numPr>
          <w:ilvl w:val="0"/>
          <w:numId w:val="16"/>
        </w:numPr>
        <w:tabs>
          <w:tab w:val="clear" w:pos="2204"/>
          <w:tab w:val="num" w:pos="539"/>
        </w:tabs>
        <w:spacing w:before="120"/>
        <w:ind w:left="896" w:hanging="357"/>
        <w:jc w:val="both"/>
        <w:rPr>
          <w:szCs w:val="24"/>
        </w:rPr>
      </w:pPr>
      <w:bookmarkStart w:id="89" w:name="sub_72342"/>
      <w:bookmarkEnd w:id="88"/>
      <w:r>
        <w:rPr>
          <w:szCs w:val="24"/>
        </w:rPr>
        <w:t>использование дублирующих маршрутов прокладки кабеля или альтернативных способов передачи;</w:t>
      </w:r>
    </w:p>
    <w:p>
      <w:pPr>
        <w:numPr>
          <w:ilvl w:val="0"/>
          <w:numId w:val="16"/>
        </w:numPr>
        <w:tabs>
          <w:tab w:val="clear" w:pos="2204"/>
          <w:tab w:val="num" w:pos="539"/>
        </w:tabs>
        <w:spacing w:before="120"/>
        <w:ind w:left="896" w:hanging="357"/>
        <w:jc w:val="both"/>
        <w:rPr>
          <w:szCs w:val="24"/>
        </w:rPr>
      </w:pPr>
      <w:bookmarkStart w:id="90" w:name="sub_72343"/>
      <w:bookmarkEnd w:id="89"/>
      <w:r>
        <w:rPr>
          <w:szCs w:val="24"/>
        </w:rPr>
        <w:t>использование волоконно-оптических систем;</w:t>
      </w:r>
    </w:p>
    <w:p>
      <w:pPr>
        <w:numPr>
          <w:ilvl w:val="0"/>
          <w:numId w:val="16"/>
        </w:numPr>
        <w:tabs>
          <w:tab w:val="clear" w:pos="2204"/>
          <w:tab w:val="num" w:pos="539"/>
        </w:tabs>
        <w:spacing w:before="120"/>
        <w:ind w:left="896" w:hanging="357"/>
        <w:jc w:val="both"/>
        <w:rPr>
          <w:szCs w:val="24"/>
        </w:rPr>
      </w:pPr>
      <w:bookmarkStart w:id="91" w:name="sub_72344"/>
      <w:bookmarkEnd w:id="90"/>
      <w:r>
        <w:rPr>
          <w:szCs w:val="24"/>
        </w:rPr>
        <w:t>проверки на подключение неавторизованных устройств к кабельной сети.</w:t>
      </w:r>
    </w:p>
    <w:p>
      <w:pPr>
        <w:pStyle w:val="S4"/>
      </w:pPr>
    </w:p>
    <w:p>
      <w:pPr>
        <w:pStyle w:val="S4"/>
      </w:pPr>
      <w:r>
        <w:t xml:space="preserve">В остальном при построении СКС необходимо руководствоваться </w:t>
      </w:r>
      <w:r>
        <w:rPr>
          <w:lang w:val="en-US"/>
        </w:rPr>
        <w:t>ASI</w:t>
      </w:r>
      <w:r>
        <w:t>/</w:t>
      </w:r>
      <w:r>
        <w:rPr>
          <w:lang w:val="en-US"/>
        </w:rPr>
        <w:t>TIA</w:t>
      </w:r>
      <w:r>
        <w:t>/</w:t>
      </w:r>
      <w:r>
        <w:rPr>
          <w:lang w:val="en-US"/>
        </w:rPr>
        <w:t>EIA</w:t>
      </w:r>
      <w:r>
        <w:t>-568-</w:t>
      </w:r>
      <w:r>
        <w:rPr>
          <w:lang w:val="en-US"/>
        </w:rPr>
        <w:t>B</w:t>
      </w:r>
      <w:r>
        <w:t xml:space="preserve"> (</w:t>
      </w:r>
      <w:r>
        <w:rPr>
          <w:lang w:val="en-US"/>
        </w:rPr>
        <w:t>CSA</w:t>
      </w:r>
      <w:r>
        <w:t> </w:t>
      </w:r>
      <w:r>
        <w:rPr>
          <w:lang w:val="en-US"/>
        </w:rPr>
        <w:t>T</w:t>
      </w:r>
      <w:r>
        <w:t>520).</w:t>
      </w:r>
    </w:p>
    <w:p>
      <w:pPr>
        <w:pStyle w:val="S4"/>
      </w:pPr>
    </w:p>
    <w:p>
      <w:pPr>
        <w:jc w:val="both"/>
        <w:rPr>
          <w:bCs/>
          <w:szCs w:val="24"/>
          <w:lang w:eastAsia="ru-RU"/>
        </w:rPr>
      </w:pPr>
      <w:bookmarkStart w:id="92" w:name="sub_724"/>
      <w:bookmarkEnd w:id="91"/>
      <w:r>
        <w:rPr>
          <w:bCs/>
          <w:szCs w:val="24"/>
          <w:lang w:eastAsia="ru-RU"/>
        </w:rPr>
        <w:t>4.7. Техническое обслуживание оборудования.</w:t>
      </w:r>
    </w:p>
    <w:p>
      <w:pPr>
        <w:jc w:val="both"/>
        <w:rPr>
          <w:bCs/>
          <w:szCs w:val="24"/>
          <w:lang w:eastAsia="ru-RU"/>
        </w:rPr>
      </w:pPr>
    </w:p>
    <w:bookmarkEnd w:id="92"/>
    <w:p>
      <w:pPr>
        <w:jc w:val="both"/>
        <w:rPr>
          <w:bCs/>
          <w:szCs w:val="24"/>
          <w:lang w:eastAsia="ru-RU"/>
        </w:rPr>
      </w:pPr>
      <w:r>
        <w:rPr>
          <w:bCs/>
          <w:szCs w:val="24"/>
          <w:lang w:eastAsia="ru-RU"/>
        </w:rPr>
        <w:t>В Компании должно проводиться надлежащее техническое обслуживание оборудования для обеспечения его непрерывной работоспособности и целостности. Для этого:</w:t>
      </w:r>
    </w:p>
    <w:p>
      <w:pPr>
        <w:numPr>
          <w:ilvl w:val="0"/>
          <w:numId w:val="2"/>
        </w:numPr>
        <w:tabs>
          <w:tab w:val="num" w:pos="540"/>
        </w:tabs>
        <w:spacing w:before="120"/>
        <w:ind w:left="538" w:hanging="357"/>
        <w:jc w:val="both"/>
        <w:rPr>
          <w:szCs w:val="24"/>
        </w:rPr>
      </w:pPr>
      <w:r>
        <w:rPr>
          <w:szCs w:val="24"/>
        </w:rPr>
        <w:t>оборудование следует обслуживать в соответствии с инструкциями и периодичностью, рекомендуемыми поставщиком (изготовителем);</w:t>
      </w:r>
    </w:p>
    <w:p>
      <w:pPr>
        <w:numPr>
          <w:ilvl w:val="0"/>
          <w:numId w:val="2"/>
        </w:numPr>
        <w:tabs>
          <w:tab w:val="num" w:pos="540"/>
        </w:tabs>
        <w:spacing w:before="120"/>
        <w:ind w:left="538" w:hanging="357"/>
        <w:jc w:val="both"/>
        <w:rPr>
          <w:szCs w:val="24"/>
        </w:rPr>
      </w:pPr>
      <w:r>
        <w:rPr>
          <w:szCs w:val="24"/>
        </w:rPr>
        <w:t xml:space="preserve">необходимо, чтобы техническое обслуживание и ремонт оборудования проводились только авторизованным персоналом </w:t>
      </w:r>
      <w:r>
        <w:t xml:space="preserve">подрядных (сервисных) </w:t>
      </w:r>
      <w:r>
        <w:rPr>
          <w:szCs w:val="24"/>
        </w:rPr>
        <w:t>организаций;</w:t>
      </w:r>
    </w:p>
    <w:p>
      <w:pPr>
        <w:numPr>
          <w:ilvl w:val="0"/>
          <w:numId w:val="2"/>
        </w:numPr>
        <w:tabs>
          <w:tab w:val="num" w:pos="540"/>
        </w:tabs>
        <w:spacing w:before="120"/>
        <w:ind w:left="538" w:hanging="357"/>
        <w:jc w:val="both"/>
        <w:rPr>
          <w:szCs w:val="24"/>
        </w:rPr>
      </w:pPr>
      <w:r>
        <w:rPr>
          <w:szCs w:val="24"/>
        </w:rPr>
        <w:t>следует вести учет всех случаев предполагаемых или фактических неисправностей и всех видах технического обслуживания (</w:t>
      </w:r>
      <w:hyperlink w:anchor="_Приложение_2._Перечень" w:history="1">
        <w:r>
          <w:rPr>
            <w:rStyle w:val="aa"/>
          </w:rPr>
          <w:t>Приложение 1</w:t>
        </w:r>
        <w:r>
          <w:rPr>
            <w:rStyle w:val="aa"/>
            <w:color w:val="auto"/>
            <w:u w:val="none"/>
          </w:rPr>
          <w:t>)</w:t>
        </w:r>
      </w:hyperlink>
      <w:r>
        <w:rPr>
          <w:szCs w:val="24"/>
        </w:rPr>
        <w:t>;</w:t>
      </w:r>
    </w:p>
    <w:p>
      <w:pPr>
        <w:numPr>
          <w:ilvl w:val="0"/>
          <w:numId w:val="2"/>
        </w:numPr>
        <w:tabs>
          <w:tab w:val="num" w:pos="540"/>
        </w:tabs>
        <w:spacing w:before="120"/>
        <w:ind w:left="538" w:hanging="357"/>
        <w:jc w:val="both"/>
        <w:rPr>
          <w:szCs w:val="24"/>
        </w:rPr>
      </w:pPr>
      <w:r>
        <w:rPr>
          <w:szCs w:val="24"/>
        </w:rPr>
        <w:t>необходимо принимать соответствующие инструкциям на оборудование меры безопасности при отправке его для технического обслуживания за пределами Компании.</w:t>
      </w:r>
    </w:p>
    <w:p>
      <w:pPr>
        <w:pStyle w:val="S4"/>
      </w:pPr>
    </w:p>
    <w:p>
      <w:pPr>
        <w:jc w:val="both"/>
        <w:rPr>
          <w:bCs/>
          <w:szCs w:val="24"/>
          <w:lang w:eastAsia="ru-RU"/>
        </w:rPr>
      </w:pPr>
      <w:r>
        <w:rPr>
          <w:bCs/>
          <w:szCs w:val="24"/>
          <w:lang w:eastAsia="ru-RU"/>
        </w:rPr>
        <w:t>Выполнение работ на электрооборудовании должно производиться с учетом требований безопасности, предусмотренных Правилами по охране труда при эксплуатации электроустановок.</w:t>
      </w:r>
    </w:p>
    <w:p>
      <w:pPr>
        <w:jc w:val="both"/>
        <w:rPr>
          <w:bCs/>
          <w:szCs w:val="24"/>
          <w:lang w:eastAsia="ru-RU"/>
        </w:rPr>
      </w:pPr>
    </w:p>
    <w:p>
      <w:pPr>
        <w:jc w:val="both"/>
        <w:rPr>
          <w:bCs/>
          <w:szCs w:val="24"/>
          <w:lang w:eastAsia="ru-RU"/>
        </w:rPr>
      </w:pPr>
    </w:p>
    <w:p>
      <w:pPr>
        <w:spacing w:before="120"/>
        <w:jc w:val="both"/>
        <w:rPr>
          <w:bCs/>
          <w:szCs w:val="24"/>
          <w:lang w:eastAsia="ru-RU"/>
        </w:rPr>
        <w:sectPr>
          <w:headerReference w:type="even" r:id="rId27"/>
          <w:headerReference w:type="default" r:id="rId28"/>
          <w:headerReference w:type="first" r:id="rId29"/>
          <w:pgSz w:w="11906" w:h="16838" w:code="9"/>
          <w:pgMar w:top="510" w:right="1021" w:bottom="567" w:left="1247" w:header="737" w:footer="680" w:gutter="0"/>
          <w:cols w:space="708"/>
          <w:docGrid w:linePitch="360"/>
        </w:sectPr>
      </w:pPr>
    </w:p>
    <w:p>
      <w:pPr>
        <w:pStyle w:val="S1"/>
        <w:tabs>
          <w:tab w:val="left" w:pos="567"/>
        </w:tabs>
        <w:ind w:left="0" w:firstLine="0"/>
      </w:pPr>
      <w:bookmarkStart w:id="93" w:name="_Toc480899111"/>
      <w:r>
        <w:rPr>
          <w:caps w:val="0"/>
        </w:rPr>
        <w:lastRenderedPageBreak/>
        <w:t>ТРЕБОВАНИЯ К ТЕХНИЧЕСКОЙ ДОКУМЕНТАЦИИ ТЕЛЕКОММУНИКАЦИОННОЙ ИНФРАСТРУКТУРЫ</w:t>
      </w:r>
      <w:bookmarkEnd w:id="93"/>
    </w:p>
    <w:p/>
    <w:p/>
    <w:p>
      <w:pPr>
        <w:jc w:val="both"/>
        <w:rPr>
          <w:bCs/>
          <w:szCs w:val="24"/>
          <w:lang w:eastAsia="ru-RU"/>
        </w:rPr>
      </w:pPr>
      <w:r>
        <w:rPr>
          <w:bCs/>
          <w:szCs w:val="24"/>
          <w:lang w:eastAsia="ru-RU"/>
        </w:rPr>
        <w:t xml:space="preserve">5.1. Техническая документация телекоммуникационной инфраструктуры Компании разрабатывается в соответствии с требованиями законодательства Российской Федерации, </w:t>
      </w:r>
      <w:r>
        <w:rPr>
          <w:szCs w:val="24"/>
        </w:rPr>
        <w:t xml:space="preserve">Закона РФ «О связи» № 126-ФЗ, </w:t>
      </w:r>
      <w:r>
        <w:t>Положением о составе разделов проектной документации и требованиях к их содержанию</w:t>
      </w:r>
      <w:r>
        <w:rPr>
          <w:szCs w:val="24"/>
        </w:rPr>
        <w:t xml:space="preserve">, ГОСТ Р 21.1101, </w:t>
      </w:r>
      <w:r>
        <w:rPr>
          <w:bCs/>
          <w:szCs w:val="24"/>
          <w:lang w:eastAsia="ru-RU"/>
        </w:rPr>
        <w:t>Закона РФ от 28.12.2013 № 5485-1 «О государственной тайне» и настоящих Методических указаний, на основании технического задания, задания на проектирование, функционально-технических требований (технических требований), методических положений и рекомендаций и соответствующих стандартов.</w:t>
      </w:r>
    </w:p>
    <w:p>
      <w:pPr>
        <w:jc w:val="both"/>
        <w:rPr>
          <w:bCs/>
          <w:szCs w:val="24"/>
          <w:lang w:eastAsia="ru-RU"/>
        </w:rPr>
      </w:pPr>
    </w:p>
    <w:p>
      <w:pPr>
        <w:jc w:val="both"/>
        <w:rPr>
          <w:bCs/>
          <w:szCs w:val="24"/>
          <w:lang w:eastAsia="ru-RU"/>
        </w:rPr>
      </w:pPr>
      <w:r>
        <w:rPr>
          <w:bCs/>
          <w:szCs w:val="24"/>
          <w:lang w:eastAsia="ru-RU"/>
        </w:rPr>
        <w:t>5.2. Проектная документация должна состоять из текстовой и графической частей.</w:t>
      </w:r>
    </w:p>
    <w:p>
      <w:pPr>
        <w:jc w:val="both"/>
        <w:rPr>
          <w:bCs/>
          <w:szCs w:val="24"/>
          <w:lang w:eastAsia="ru-RU"/>
        </w:rPr>
      </w:pPr>
    </w:p>
    <w:p>
      <w:pPr>
        <w:pStyle w:val="af8"/>
        <w:spacing w:before="0" w:beforeAutospacing="0" w:after="0" w:afterAutospacing="0"/>
        <w:jc w:val="both"/>
        <w:rPr>
          <w:color w:val="000000"/>
        </w:rPr>
      </w:pPr>
      <w:r>
        <w:rPr>
          <w:i/>
          <w:color w:val="000000"/>
        </w:rPr>
        <w:t>Текстовая часть</w:t>
      </w:r>
      <w:r>
        <w:rPr>
          <w:color w:val="000000"/>
        </w:rPr>
        <w:t xml:space="preserve"> </w:t>
      </w:r>
      <w:r>
        <w:rPr>
          <w:bCs/>
        </w:rPr>
        <w:t>должна</w:t>
      </w:r>
      <w:r>
        <w:rPr>
          <w:color w:val="000000"/>
        </w:rPr>
        <w:t xml:space="preserve"> содержать сведения об объекте инфраструктуры связи, описание принятых технических и иных решений, пояснения, ссылки на нормативные и (или) технические документы, используемые при подготовке проектной документации и результаты расчетов, обосновывающие принятые решения.</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i/>
          <w:color w:val="000000"/>
        </w:rPr>
        <w:t>Графическая часть</w:t>
      </w:r>
      <w:r>
        <w:rPr>
          <w:color w:val="000000"/>
        </w:rPr>
        <w:t xml:space="preserve"> </w:t>
      </w:r>
      <w:r>
        <w:rPr>
          <w:bCs/>
        </w:rPr>
        <w:t>должна</w:t>
      </w:r>
      <w:r>
        <w:rPr>
          <w:color w:val="000000"/>
        </w:rPr>
        <w:t xml:space="preserve"> отображать принятые технические и иные решения и выполняется в виде чертежей, схем, планов и других документов в графической форме.</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color w:val="000000"/>
        </w:rPr>
        <w:t>Проектную документацию необходимо объединять в тома по отдельным разделам и видам работ</w:t>
      </w:r>
      <w:r>
        <w:rPr>
          <w:color w:val="000000"/>
          <w:spacing w:val="-2"/>
          <w:kern w:val="20"/>
        </w:rPr>
        <w:t>. Каждый том нумеруют арабскими цифрами</w:t>
      </w:r>
      <w:r>
        <w:rPr>
          <w:color w:val="000000"/>
        </w:rPr>
        <w:t>. Материалы, включаемые в том, комплектуют в следующем порядке:</w:t>
      </w:r>
    </w:p>
    <w:p>
      <w:pPr>
        <w:numPr>
          <w:ilvl w:val="0"/>
          <w:numId w:val="2"/>
        </w:numPr>
        <w:tabs>
          <w:tab w:val="num" w:pos="540"/>
        </w:tabs>
        <w:spacing w:before="120"/>
        <w:ind w:left="538" w:hanging="357"/>
        <w:jc w:val="both"/>
        <w:rPr>
          <w:bCs/>
          <w:szCs w:val="24"/>
          <w:lang w:eastAsia="ru-RU"/>
        </w:rPr>
      </w:pPr>
      <w:r>
        <w:rPr>
          <w:bCs/>
          <w:szCs w:val="24"/>
          <w:lang w:eastAsia="ru-RU"/>
        </w:rPr>
        <w:t>обложка;</w:t>
      </w:r>
    </w:p>
    <w:p>
      <w:pPr>
        <w:numPr>
          <w:ilvl w:val="0"/>
          <w:numId w:val="2"/>
        </w:numPr>
        <w:tabs>
          <w:tab w:val="num" w:pos="540"/>
        </w:tabs>
        <w:spacing w:before="120"/>
        <w:ind w:left="538" w:hanging="357"/>
        <w:jc w:val="both"/>
        <w:rPr>
          <w:bCs/>
          <w:szCs w:val="24"/>
          <w:lang w:eastAsia="ru-RU"/>
        </w:rPr>
      </w:pPr>
      <w:r>
        <w:rPr>
          <w:bCs/>
          <w:szCs w:val="24"/>
          <w:lang w:eastAsia="ru-RU"/>
        </w:rPr>
        <w:t>титульный лист;</w:t>
      </w:r>
    </w:p>
    <w:p>
      <w:pPr>
        <w:numPr>
          <w:ilvl w:val="0"/>
          <w:numId w:val="2"/>
        </w:numPr>
        <w:tabs>
          <w:tab w:val="num" w:pos="540"/>
        </w:tabs>
        <w:spacing w:before="120"/>
        <w:ind w:left="538" w:hanging="357"/>
        <w:jc w:val="both"/>
        <w:rPr>
          <w:bCs/>
          <w:szCs w:val="24"/>
          <w:lang w:eastAsia="ru-RU"/>
        </w:rPr>
      </w:pPr>
      <w:r>
        <w:rPr>
          <w:bCs/>
          <w:szCs w:val="24"/>
          <w:lang w:eastAsia="ru-RU"/>
        </w:rPr>
        <w:t>содержание;</w:t>
      </w:r>
    </w:p>
    <w:p>
      <w:pPr>
        <w:numPr>
          <w:ilvl w:val="0"/>
          <w:numId w:val="2"/>
        </w:numPr>
        <w:tabs>
          <w:tab w:val="num" w:pos="540"/>
        </w:tabs>
        <w:spacing w:before="120"/>
        <w:ind w:left="538" w:hanging="357"/>
        <w:jc w:val="both"/>
        <w:rPr>
          <w:bCs/>
          <w:szCs w:val="24"/>
          <w:lang w:eastAsia="ru-RU"/>
        </w:rPr>
      </w:pPr>
      <w:r>
        <w:rPr>
          <w:bCs/>
          <w:szCs w:val="24"/>
          <w:lang w:eastAsia="ru-RU"/>
        </w:rPr>
        <w:t>состав проектной документации;</w:t>
      </w:r>
    </w:p>
    <w:p>
      <w:pPr>
        <w:numPr>
          <w:ilvl w:val="0"/>
          <w:numId w:val="2"/>
        </w:numPr>
        <w:tabs>
          <w:tab w:val="num" w:pos="540"/>
        </w:tabs>
        <w:spacing w:before="120"/>
        <w:ind w:left="538" w:hanging="357"/>
        <w:jc w:val="both"/>
        <w:rPr>
          <w:bCs/>
          <w:szCs w:val="24"/>
          <w:lang w:eastAsia="ru-RU"/>
        </w:rPr>
      </w:pPr>
      <w:r>
        <w:rPr>
          <w:bCs/>
          <w:szCs w:val="24"/>
          <w:lang w:eastAsia="ru-RU"/>
        </w:rPr>
        <w:t>текстовая часть;</w:t>
      </w:r>
    </w:p>
    <w:p>
      <w:pPr>
        <w:numPr>
          <w:ilvl w:val="0"/>
          <w:numId w:val="2"/>
        </w:numPr>
        <w:tabs>
          <w:tab w:val="num" w:pos="540"/>
        </w:tabs>
        <w:spacing w:before="120"/>
        <w:ind w:left="538" w:hanging="357"/>
        <w:jc w:val="both"/>
        <w:rPr>
          <w:bCs/>
          <w:szCs w:val="24"/>
          <w:lang w:eastAsia="ru-RU"/>
        </w:rPr>
      </w:pPr>
      <w:r>
        <w:rPr>
          <w:bCs/>
          <w:szCs w:val="24"/>
          <w:lang w:eastAsia="ru-RU"/>
        </w:rPr>
        <w:t>графическая часть (основные чертежи и схемы).</w:t>
      </w:r>
    </w:p>
    <w:p>
      <w:pPr>
        <w:pStyle w:val="S4"/>
      </w:pPr>
    </w:p>
    <w:p>
      <w:pPr>
        <w:pStyle w:val="af8"/>
        <w:spacing w:before="0" w:beforeAutospacing="0" w:after="0" w:afterAutospacing="0"/>
        <w:jc w:val="both"/>
        <w:rPr>
          <w:color w:val="000000"/>
        </w:rPr>
      </w:pPr>
      <w:r>
        <w:rPr>
          <w:color w:val="000000"/>
        </w:rPr>
        <w:t>Каждому тому, текстовому и графическому документу, включенному в том, необходимо присваивать обозначение, которое указывают на обложке, титульном листе и в основных надписях.</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color w:val="000000"/>
        </w:rPr>
        <w:t xml:space="preserve">Обозначение тома, текстовые части разделов проектной документации и другие текстовые документы необходимо выполнять по </w:t>
      </w:r>
      <w:r>
        <w:t>ГОСТ 2.105</w:t>
      </w:r>
      <w:r>
        <w:rPr>
          <w:color w:val="000000"/>
        </w:rPr>
        <w:t>. Количество листов, включаемых в том, не регламентировано, но необходимо обеспечить удобство работы с томом.</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color w:val="000000"/>
        </w:rPr>
        <w:t>Разрешается выполнять текстовые части разделов проектной документации без основных надписей, дополнительных граф к ним и рамок. В этом случае в текстовой части:</w:t>
      </w:r>
    </w:p>
    <w:p>
      <w:pPr>
        <w:numPr>
          <w:ilvl w:val="0"/>
          <w:numId w:val="2"/>
        </w:numPr>
        <w:tabs>
          <w:tab w:val="num" w:pos="540"/>
        </w:tabs>
        <w:spacing w:before="120"/>
        <w:ind w:left="538" w:hanging="357"/>
        <w:jc w:val="both"/>
        <w:rPr>
          <w:szCs w:val="24"/>
        </w:rPr>
      </w:pPr>
      <w:r>
        <w:rPr>
          <w:color w:val="000000"/>
          <w:szCs w:val="24"/>
        </w:rPr>
        <w:t xml:space="preserve">на </w:t>
      </w:r>
      <w:r>
        <w:rPr>
          <w:szCs w:val="24"/>
        </w:rPr>
        <w:t>первом листе приводится список исполнителей, в котором указывают должности, инициалы и фамилии лиц, принимавших участие в разработке, контроле и согласовании, предусматривают места для подписей и дат подписания. Далее помещается содержание (оглавление), включающее номера (обозначения) и наименования разделов и приложений, с указанием номеров листов (страниц);</w:t>
      </w:r>
    </w:p>
    <w:p>
      <w:pPr>
        <w:numPr>
          <w:ilvl w:val="0"/>
          <w:numId w:val="2"/>
        </w:numPr>
        <w:tabs>
          <w:tab w:val="num" w:pos="540"/>
        </w:tabs>
        <w:spacing w:before="120"/>
        <w:ind w:left="538" w:hanging="357"/>
        <w:jc w:val="both"/>
        <w:rPr>
          <w:szCs w:val="24"/>
        </w:rPr>
      </w:pPr>
      <w:r>
        <w:rPr>
          <w:szCs w:val="24"/>
        </w:rPr>
        <w:lastRenderedPageBreak/>
        <w:t>в верхней части (верхнем колонтитуле) в левом углу каждого листа указывается обозначение документа;</w:t>
      </w:r>
    </w:p>
    <w:p>
      <w:pPr>
        <w:numPr>
          <w:ilvl w:val="0"/>
          <w:numId w:val="2"/>
        </w:numPr>
        <w:tabs>
          <w:tab w:val="num" w:pos="540"/>
        </w:tabs>
        <w:spacing w:before="120"/>
        <w:ind w:left="538" w:hanging="357"/>
        <w:jc w:val="both"/>
        <w:rPr>
          <w:szCs w:val="24"/>
        </w:rPr>
      </w:pPr>
      <w:r>
        <w:rPr>
          <w:szCs w:val="24"/>
        </w:rPr>
        <w:t>в нижней части (нижнем колонтитуле) каждого листа указывается: логотип и наименование организации, подготовившей документ, наименование, инвентарный номер, имя файла, номер страницы документа в нижнем правом углу, а также, при необходимости, номер версии документа и другие сведения.</w:t>
      </w:r>
    </w:p>
    <w:p>
      <w:pPr>
        <w:pStyle w:val="S4"/>
      </w:pPr>
    </w:p>
    <w:p>
      <w:pPr>
        <w:pStyle w:val="af8"/>
        <w:spacing w:before="0" w:beforeAutospacing="0" w:after="0" w:afterAutospacing="0"/>
        <w:jc w:val="both"/>
        <w:rPr>
          <w:color w:val="000000"/>
        </w:rPr>
      </w:pPr>
      <w:r>
        <w:t xml:space="preserve">Количество подписанных </w:t>
      </w:r>
      <w:r>
        <w:rPr>
          <w:color w:val="000000"/>
        </w:rPr>
        <w:t>экземпляров</w:t>
      </w:r>
      <w:r>
        <w:t xml:space="preserve"> </w:t>
      </w:r>
      <w:r>
        <w:rPr>
          <w:color w:val="000000"/>
        </w:rPr>
        <w:t>проектной документации в бумажном виде должно составлять не менее двух.</w:t>
      </w:r>
    </w:p>
    <w:p>
      <w:pPr>
        <w:pStyle w:val="af8"/>
        <w:spacing w:before="0" w:beforeAutospacing="0" w:after="0" w:afterAutospacing="0"/>
        <w:jc w:val="both"/>
      </w:pPr>
    </w:p>
    <w:p>
      <w:pPr>
        <w:pStyle w:val="af8"/>
        <w:spacing w:before="0" w:beforeAutospacing="0" w:after="0" w:afterAutospacing="0"/>
        <w:jc w:val="both"/>
        <w:rPr>
          <w:color w:val="000000"/>
        </w:rPr>
      </w:pPr>
      <w:r>
        <w:rPr>
          <w:color w:val="000000"/>
        </w:rPr>
        <w:t xml:space="preserve">5.3. Если для разработки проектной документации недостаточно требований по надежности и безопасности, установленных нормативными техническими документами, или такие требования не установлены, разработке документации должны предшествовать разработка, согласование и утверждение </w:t>
      </w:r>
      <w:r>
        <w:rPr>
          <w:i/>
          <w:color w:val="000000"/>
        </w:rPr>
        <w:t>специальных технических условий</w:t>
      </w:r>
      <w:r>
        <w:rPr>
          <w:color w:val="000000"/>
        </w:rPr>
        <w:t xml:space="preserve"> в соответствии с </w:t>
      </w:r>
      <w:r>
        <w:t>Положением о составе разделов проектной документации и требованиях к их содержанию</w:t>
      </w:r>
      <w:r>
        <w:rPr>
          <w:color w:val="000000"/>
        </w:rPr>
        <w:t xml:space="preserve"> и П</w:t>
      </w:r>
      <w:r>
        <w:t>орядком разработки и согласования специальных технических условий для разработки проектной документации на объект капитального строительства</w:t>
      </w:r>
      <w:r>
        <w:rPr>
          <w:color w:val="000000"/>
        </w:rPr>
        <w:t>.</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color w:val="000000"/>
        </w:rPr>
        <w:t xml:space="preserve">5.4. В состав рабочей документации на основании </w:t>
      </w:r>
      <w:r>
        <w:t xml:space="preserve">ГОСТ Р 21.1703 </w:t>
      </w:r>
      <w:r>
        <w:rPr>
          <w:color w:val="000000"/>
        </w:rPr>
        <w:t>необходимо дополнительно включать:</w:t>
      </w:r>
    </w:p>
    <w:p>
      <w:pPr>
        <w:numPr>
          <w:ilvl w:val="0"/>
          <w:numId w:val="2"/>
        </w:numPr>
        <w:tabs>
          <w:tab w:val="num" w:pos="540"/>
        </w:tabs>
        <w:spacing w:before="120"/>
        <w:ind w:left="538" w:hanging="357"/>
        <w:jc w:val="both"/>
        <w:rPr>
          <w:bCs/>
          <w:szCs w:val="24"/>
          <w:lang w:eastAsia="ru-RU"/>
        </w:rPr>
      </w:pPr>
      <w:r>
        <w:rPr>
          <w:bCs/>
          <w:szCs w:val="24"/>
          <w:lang w:eastAsia="ru-RU"/>
        </w:rPr>
        <w:t>прилагаемые документы.</w:t>
      </w:r>
    </w:p>
    <w:p>
      <w:pPr>
        <w:pStyle w:val="S4"/>
      </w:pPr>
    </w:p>
    <w:p>
      <w:pPr>
        <w:pStyle w:val="S4"/>
        <w:rPr>
          <w:color w:val="000000"/>
        </w:rPr>
      </w:pPr>
      <w:r>
        <w:rPr>
          <w:color w:val="000000"/>
        </w:rPr>
        <w:t>К прилагаемым документам относят:</w:t>
      </w:r>
    </w:p>
    <w:p>
      <w:pPr>
        <w:numPr>
          <w:ilvl w:val="0"/>
          <w:numId w:val="2"/>
        </w:numPr>
        <w:tabs>
          <w:tab w:val="num" w:pos="540"/>
        </w:tabs>
        <w:spacing w:before="120"/>
        <w:ind w:left="538" w:hanging="357"/>
        <w:jc w:val="both"/>
        <w:rPr>
          <w:szCs w:val="24"/>
        </w:rPr>
      </w:pPr>
      <w:r>
        <w:rPr>
          <w:szCs w:val="24"/>
        </w:rPr>
        <w:t>эскизные чертежи общих видов нетиповых изделий и работ;</w:t>
      </w:r>
    </w:p>
    <w:p>
      <w:pPr>
        <w:numPr>
          <w:ilvl w:val="0"/>
          <w:numId w:val="2"/>
        </w:numPr>
        <w:tabs>
          <w:tab w:val="num" w:pos="540"/>
        </w:tabs>
        <w:spacing w:before="120"/>
        <w:ind w:left="538" w:hanging="357"/>
        <w:jc w:val="both"/>
        <w:rPr>
          <w:szCs w:val="24"/>
        </w:rPr>
      </w:pPr>
      <w:r>
        <w:rPr>
          <w:szCs w:val="24"/>
        </w:rPr>
        <w:t>спецификацию оборудования, изделий и материалов;</w:t>
      </w:r>
    </w:p>
    <w:p>
      <w:pPr>
        <w:numPr>
          <w:ilvl w:val="0"/>
          <w:numId w:val="2"/>
        </w:numPr>
        <w:tabs>
          <w:tab w:val="num" w:pos="540"/>
        </w:tabs>
        <w:spacing w:before="120"/>
        <w:ind w:left="538" w:hanging="357"/>
        <w:jc w:val="both"/>
        <w:rPr>
          <w:szCs w:val="24"/>
        </w:rPr>
      </w:pPr>
      <w:r>
        <w:rPr>
          <w:szCs w:val="24"/>
        </w:rPr>
        <w:t>опросные листы;</w:t>
      </w:r>
    </w:p>
    <w:p>
      <w:pPr>
        <w:numPr>
          <w:ilvl w:val="0"/>
          <w:numId w:val="2"/>
        </w:numPr>
        <w:tabs>
          <w:tab w:val="num" w:pos="540"/>
        </w:tabs>
        <w:spacing w:before="120"/>
        <w:ind w:left="538" w:hanging="357"/>
        <w:jc w:val="both"/>
        <w:rPr>
          <w:szCs w:val="24"/>
        </w:rPr>
      </w:pPr>
      <w:r>
        <w:rPr>
          <w:szCs w:val="24"/>
        </w:rPr>
        <w:t>сметные документы;</w:t>
      </w:r>
    </w:p>
    <w:p>
      <w:pPr>
        <w:numPr>
          <w:ilvl w:val="0"/>
          <w:numId w:val="2"/>
        </w:numPr>
        <w:tabs>
          <w:tab w:val="num" w:pos="540"/>
        </w:tabs>
        <w:spacing w:before="120"/>
        <w:ind w:left="538" w:hanging="357"/>
        <w:jc w:val="both"/>
        <w:rPr>
          <w:color w:val="000000"/>
          <w:szCs w:val="24"/>
        </w:rPr>
      </w:pPr>
      <w:r>
        <w:rPr>
          <w:szCs w:val="24"/>
        </w:rPr>
        <w:t>другие документы, предусмотренные соответствующими</w:t>
      </w:r>
      <w:r>
        <w:rPr>
          <w:color w:val="000000"/>
          <w:szCs w:val="24"/>
        </w:rPr>
        <w:t xml:space="preserve"> стандартами.</w:t>
      </w:r>
    </w:p>
    <w:p>
      <w:pPr>
        <w:pStyle w:val="S4"/>
      </w:pPr>
    </w:p>
    <w:p>
      <w:pPr>
        <w:pStyle w:val="af8"/>
        <w:spacing w:before="0" w:beforeAutospacing="0" w:after="0" w:afterAutospacing="0"/>
        <w:jc w:val="both"/>
        <w:rPr>
          <w:color w:val="000000"/>
        </w:rPr>
      </w:pPr>
      <w:r>
        <w:rPr>
          <w:color w:val="000000"/>
        </w:rPr>
        <w:t>Состав прилагаемых документов может дополнительно уточняться.</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t xml:space="preserve">Количество экземпляров </w:t>
      </w:r>
      <w:r>
        <w:rPr>
          <w:color w:val="000000"/>
        </w:rPr>
        <w:t xml:space="preserve">рабочей документации должно составлять не менее двух подписанных </w:t>
      </w:r>
      <w:r>
        <w:t xml:space="preserve">экземпляров </w:t>
      </w:r>
      <w:r>
        <w:rPr>
          <w:color w:val="000000"/>
        </w:rPr>
        <w:t>в бумажном виде. Утвержденная и согласованная рабочая документация является основанием для начала выполнения работ на инфраструктуре связи.</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bookmarkStart w:id="94" w:name="sub_701"/>
      <w:r>
        <w:rPr>
          <w:color w:val="000000"/>
        </w:rPr>
        <w:t xml:space="preserve">5.5. Исполнительная документация должна выполняться на линейные и кабельные сооружения связи (волоконно-оптические системы и линии связи, линии и системы передачи по кабелю с медными (металлическими) жилами, радиорелейные системы связи). Исполнительная документация выполняется подрядной (сервисной) организацией, осуществляющей работы на телекоммуникационной инфраструктуре. Исполнительная документация подтверждает соответствие выполненных работ требованиям технических регламентов (нормам и правилам) и документации. Исполнительная документация представляет собой текстовые и графические материалы, представленные в документации, но отражающие </w:t>
      </w:r>
      <w:r>
        <w:rPr>
          <w:i/>
          <w:color w:val="000000"/>
        </w:rPr>
        <w:t>фактическое исполнение</w:t>
      </w:r>
      <w:r>
        <w:rPr>
          <w:color w:val="000000"/>
        </w:rPr>
        <w:t xml:space="preserve"> проектных решений и </w:t>
      </w:r>
      <w:r>
        <w:rPr>
          <w:i/>
          <w:color w:val="000000"/>
        </w:rPr>
        <w:t>фактическое положение</w:t>
      </w:r>
      <w:r>
        <w:rPr>
          <w:color w:val="000000"/>
        </w:rPr>
        <w:t xml:space="preserve"> объектов инфраструктуры связи и их элементов </w:t>
      </w:r>
      <w:r>
        <w:rPr>
          <w:i/>
          <w:color w:val="000000"/>
        </w:rPr>
        <w:t>по мере завершения работ, определенных рабочей документацией</w:t>
      </w:r>
      <w:r>
        <w:rPr>
          <w:color w:val="000000"/>
        </w:rPr>
        <w:t>.</w:t>
      </w:r>
    </w:p>
    <w:p>
      <w:pPr>
        <w:pStyle w:val="af8"/>
        <w:spacing w:before="0" w:beforeAutospacing="0" w:after="0" w:afterAutospacing="0"/>
        <w:jc w:val="both"/>
        <w:rPr>
          <w:color w:val="000000"/>
        </w:rPr>
      </w:pPr>
    </w:p>
    <w:p>
      <w:pPr>
        <w:pStyle w:val="af8"/>
        <w:spacing w:before="0" w:beforeAutospacing="0" w:after="0" w:afterAutospacing="0"/>
        <w:jc w:val="both"/>
        <w:rPr>
          <w:color w:val="000000"/>
        </w:rPr>
      </w:pPr>
      <w:r>
        <w:rPr>
          <w:color w:val="000000"/>
        </w:rPr>
        <w:lastRenderedPageBreak/>
        <w:t>В состав исполнительной документации дополнительно включают в соответствии с требованиями Е</w:t>
      </w:r>
      <w:r>
        <w:t>диного руководства по составлению исполнительной документации на законченные строительством линейные сооружения проводной связи и РД 45.156</w:t>
      </w:r>
      <w:r>
        <w:rPr>
          <w:color w:val="000000"/>
        </w:rPr>
        <w:t>:</w:t>
      </w:r>
    </w:p>
    <w:p>
      <w:pPr>
        <w:numPr>
          <w:ilvl w:val="0"/>
          <w:numId w:val="2"/>
        </w:numPr>
        <w:tabs>
          <w:tab w:val="num" w:pos="540"/>
        </w:tabs>
        <w:spacing w:before="120"/>
        <w:ind w:left="538" w:hanging="357"/>
        <w:jc w:val="both"/>
        <w:rPr>
          <w:szCs w:val="24"/>
        </w:rPr>
      </w:pPr>
      <w:r>
        <w:rPr>
          <w:szCs w:val="24"/>
        </w:rPr>
        <w:t>паспорт трассы;</w:t>
      </w:r>
    </w:p>
    <w:p>
      <w:pPr>
        <w:numPr>
          <w:ilvl w:val="0"/>
          <w:numId w:val="2"/>
        </w:numPr>
        <w:tabs>
          <w:tab w:val="num" w:pos="540"/>
        </w:tabs>
        <w:spacing w:before="120"/>
        <w:ind w:left="538" w:hanging="357"/>
        <w:jc w:val="both"/>
        <w:rPr>
          <w:szCs w:val="24"/>
        </w:rPr>
      </w:pPr>
      <w:r>
        <w:rPr>
          <w:szCs w:val="24"/>
        </w:rPr>
        <w:t>протоколы измерений;</w:t>
      </w:r>
    </w:p>
    <w:p>
      <w:pPr>
        <w:numPr>
          <w:ilvl w:val="0"/>
          <w:numId w:val="2"/>
        </w:numPr>
        <w:tabs>
          <w:tab w:val="num" w:pos="540"/>
        </w:tabs>
        <w:spacing w:before="120"/>
        <w:ind w:left="538" w:hanging="357"/>
        <w:jc w:val="both"/>
        <w:rPr>
          <w:szCs w:val="24"/>
        </w:rPr>
      </w:pPr>
      <w:r>
        <w:rPr>
          <w:szCs w:val="24"/>
        </w:rPr>
        <w:t>монтажные документы;</w:t>
      </w:r>
    </w:p>
    <w:p>
      <w:pPr>
        <w:numPr>
          <w:ilvl w:val="0"/>
          <w:numId w:val="2"/>
        </w:numPr>
        <w:tabs>
          <w:tab w:val="num" w:pos="540"/>
        </w:tabs>
        <w:spacing w:before="120"/>
        <w:ind w:left="538" w:hanging="357"/>
        <w:jc w:val="both"/>
        <w:rPr>
          <w:szCs w:val="24"/>
        </w:rPr>
      </w:pPr>
      <w:r>
        <w:t>акты на скрытые работы.</w:t>
      </w:r>
    </w:p>
    <w:p>
      <w:pPr>
        <w:pStyle w:val="S4"/>
      </w:pPr>
    </w:p>
    <w:p>
      <w:pPr>
        <w:pStyle w:val="af8"/>
        <w:spacing w:before="0" w:beforeAutospacing="0" w:after="0" w:afterAutospacing="0"/>
        <w:jc w:val="both"/>
        <w:rPr>
          <w:color w:val="000000"/>
        </w:rPr>
      </w:pPr>
      <w:r>
        <w:t>И</w:t>
      </w:r>
      <w:r>
        <w:rPr>
          <w:color w:val="000000"/>
        </w:rPr>
        <w:t>сполнительная документация предоставляется в бумажном виде, необходимое количество по требованию.</w:t>
      </w:r>
    </w:p>
    <w:p>
      <w:pPr>
        <w:pStyle w:val="af8"/>
        <w:spacing w:before="0" w:beforeAutospacing="0" w:after="0" w:afterAutospacing="0"/>
        <w:jc w:val="both"/>
        <w:rPr>
          <w:color w:val="000000"/>
        </w:rPr>
      </w:pPr>
    </w:p>
    <w:p>
      <w:pPr>
        <w:pStyle w:val="af8"/>
        <w:spacing w:before="0" w:beforeAutospacing="0" w:after="0" w:afterAutospacing="0"/>
        <w:jc w:val="both"/>
      </w:pPr>
      <w:r>
        <w:t>5.6. Эксплуатационная документация определяет в отдельности или в совокупности с другими документами правила эксплуатации оборудования и/или отражает сведения, удостоверяющие гарантированные изготовителем значения основных параметров и характеристик (свойств) оборудования, гарантии и сведения по его эксплуатации в течение установленного срока службы.</w:t>
      </w:r>
    </w:p>
    <w:p>
      <w:pPr>
        <w:pStyle w:val="af8"/>
        <w:spacing w:before="0" w:beforeAutospacing="0" w:after="0" w:afterAutospacing="0"/>
        <w:jc w:val="both"/>
      </w:pPr>
    </w:p>
    <w:p>
      <w:pPr>
        <w:pStyle w:val="af8"/>
        <w:spacing w:before="0" w:beforeAutospacing="0" w:after="0" w:afterAutospacing="0"/>
        <w:jc w:val="both"/>
      </w:pPr>
      <w:r>
        <w:t>Эксплуатационная документация разрабатывается на основе требований рабочей документации. Перечень (ведомость) эксплуатационной документации согласовывается на этапе разработки проектной или рабочей документаций или при отдельном проведении работ по разработке эксплуатационной документации. При разработке необходимо руководствоваться ГОСТ 2.601.</w:t>
      </w:r>
    </w:p>
    <w:p>
      <w:pPr>
        <w:pStyle w:val="af8"/>
        <w:spacing w:before="0" w:beforeAutospacing="0" w:after="0" w:afterAutospacing="0"/>
        <w:jc w:val="both"/>
      </w:pPr>
    </w:p>
    <w:p>
      <w:pPr>
        <w:pStyle w:val="af8"/>
        <w:spacing w:before="0" w:beforeAutospacing="0" w:after="0" w:afterAutospacing="0"/>
        <w:jc w:val="both"/>
      </w:pPr>
      <w:r>
        <w:t xml:space="preserve">В эксплуатационной документации на оборудование инфраструктуры связи указывается: назначение, </w:t>
      </w:r>
      <w:r>
        <w:rPr>
          <w:lang w:eastAsia="en-US"/>
        </w:rPr>
        <w:t xml:space="preserve">характеристики (свойства) </w:t>
      </w:r>
      <w:r>
        <w:t xml:space="preserve">особенности оборудования или объектов; условия </w:t>
      </w:r>
      <w:r>
        <w:rPr>
          <w:lang w:eastAsia="en-US"/>
        </w:rPr>
        <w:t xml:space="preserve">правильной и безопасной </w:t>
      </w:r>
      <w:r>
        <w:t xml:space="preserve">эксплуатации, предусмотренные стандартами, техническими условиями; </w:t>
      </w:r>
      <w:r>
        <w:rPr>
          <w:lang w:eastAsia="en-US"/>
        </w:rPr>
        <w:t>сведения, относящиеся к использованию оборудования по назначению и оценке его технического состояния</w:t>
      </w:r>
      <w:r>
        <w:t xml:space="preserve">; </w:t>
      </w:r>
      <w:r>
        <w:rPr>
          <w:lang w:eastAsia="en-US"/>
        </w:rPr>
        <w:t>сведения, относящиеся к техническому обслуживанию, текущему ремонту, хранению, транспортированию и утилизации.</w:t>
      </w:r>
    </w:p>
    <w:p>
      <w:pPr>
        <w:pStyle w:val="af8"/>
        <w:spacing w:before="0" w:beforeAutospacing="0" w:after="0" w:afterAutospacing="0"/>
        <w:jc w:val="both"/>
      </w:pPr>
    </w:p>
    <w:p>
      <w:pPr>
        <w:pStyle w:val="af8"/>
        <w:spacing w:before="0" w:beforeAutospacing="0" w:after="0" w:afterAutospacing="0"/>
        <w:jc w:val="both"/>
      </w:pPr>
      <w:r>
        <w:t>Эксплуатационные документы выполняются на бумажных носителях. Дополнительно может быть приложен комплект эксплуатационных документов на электронных носителях.</w:t>
      </w:r>
    </w:p>
    <w:p>
      <w:pPr>
        <w:pStyle w:val="af8"/>
        <w:spacing w:before="0" w:beforeAutospacing="0" w:after="0" w:afterAutospacing="0"/>
        <w:jc w:val="both"/>
      </w:pPr>
    </w:p>
    <w:p>
      <w:pPr>
        <w:pStyle w:val="af8"/>
        <w:spacing w:before="0" w:beforeAutospacing="0" w:after="0" w:afterAutospacing="0"/>
        <w:jc w:val="both"/>
        <w:rPr>
          <w:bCs/>
        </w:rPr>
      </w:pPr>
      <w:r>
        <w:t>5.7. Техническая документация может содержать определенную информацию, например, описание процессов работы бизнес-приложений Компании, процедур</w:t>
      </w:r>
      <w:r>
        <w:rPr>
          <w:bCs/>
        </w:rPr>
        <w:t>, структур данных, процессов авторизации. В связи с этим для безопасности документации необходимо применять следующие мероприятия:</w:t>
      </w:r>
    </w:p>
    <w:p>
      <w:pPr>
        <w:numPr>
          <w:ilvl w:val="0"/>
          <w:numId w:val="2"/>
        </w:numPr>
        <w:tabs>
          <w:tab w:val="num" w:pos="540"/>
        </w:tabs>
        <w:spacing w:before="120"/>
        <w:ind w:left="538" w:hanging="357"/>
        <w:jc w:val="both"/>
        <w:rPr>
          <w:szCs w:val="24"/>
        </w:rPr>
      </w:pPr>
      <w:r>
        <w:rPr>
          <w:szCs w:val="24"/>
        </w:rPr>
        <w:t>документацию следует учитывать и хранить в СП эксплуатации или у владельцев бизнес-приложений. Срок хранения документации определяется жизненным циклом инфраструктуры связи;</w:t>
      </w:r>
    </w:p>
    <w:p>
      <w:pPr>
        <w:numPr>
          <w:ilvl w:val="0"/>
          <w:numId w:val="2"/>
        </w:numPr>
        <w:tabs>
          <w:tab w:val="num" w:pos="540"/>
        </w:tabs>
        <w:spacing w:before="120"/>
        <w:ind w:left="538" w:hanging="357"/>
        <w:jc w:val="both"/>
        <w:rPr>
          <w:szCs w:val="24"/>
        </w:rPr>
      </w:pPr>
      <w:r>
        <w:rPr>
          <w:szCs w:val="24"/>
        </w:rPr>
        <w:t>список лиц, имеющих доступ к документации, следует сводить к минимуму. Доступ должен быть авторизован владельцем бизнес-приложения. Выдача осуществляется под расписку;</w:t>
      </w:r>
    </w:p>
    <w:p>
      <w:pPr>
        <w:numPr>
          <w:ilvl w:val="0"/>
          <w:numId w:val="2"/>
        </w:numPr>
        <w:tabs>
          <w:tab w:val="num" w:pos="540"/>
        </w:tabs>
        <w:spacing w:before="120"/>
        <w:ind w:left="538" w:hanging="357"/>
        <w:jc w:val="both"/>
        <w:rPr>
          <w:szCs w:val="24"/>
        </w:rPr>
      </w:pPr>
      <w:r>
        <w:rPr>
          <w:szCs w:val="24"/>
        </w:rPr>
        <w:t>передача документации через сеть связи Интернет должна осуществляться только с определенными мерами защиты с использованием ПКЗИ. В других случаях передача документации через сеть связи Интернет не допускается.</w:t>
      </w:r>
    </w:p>
    <w:p>
      <w:pPr>
        <w:pStyle w:val="S4"/>
      </w:pPr>
    </w:p>
    <w:p>
      <w:pPr>
        <w:jc w:val="both"/>
        <w:rPr>
          <w:bCs/>
          <w:szCs w:val="24"/>
          <w:lang w:eastAsia="ru-RU"/>
        </w:rPr>
      </w:pPr>
      <w:r>
        <w:rPr>
          <w:bCs/>
          <w:szCs w:val="24"/>
          <w:lang w:eastAsia="ru-RU"/>
        </w:rPr>
        <w:lastRenderedPageBreak/>
        <w:t xml:space="preserve">5.8. Оборудование инфраструктуры связи должно иметь подтверждение соответствия на основании требований </w:t>
      </w:r>
      <w:r>
        <w:t>Федерального закона от 07.07.2003 № 126-ФЗ «О связи»</w:t>
      </w:r>
      <w:r>
        <w:rPr>
          <w:bCs/>
          <w:szCs w:val="24"/>
          <w:lang w:eastAsia="ru-RU"/>
        </w:rPr>
        <w:t xml:space="preserve">. В Российской Федерации это обеспечивается представлением </w:t>
      </w:r>
      <w:r>
        <w:rPr>
          <w:bCs/>
          <w:i/>
          <w:szCs w:val="24"/>
          <w:lang w:eastAsia="ru-RU"/>
        </w:rPr>
        <w:t>сертификата связи</w:t>
      </w:r>
      <w:r>
        <w:rPr>
          <w:bCs/>
          <w:szCs w:val="24"/>
          <w:lang w:eastAsia="ru-RU"/>
        </w:rPr>
        <w:t xml:space="preserve"> или </w:t>
      </w:r>
      <w:r>
        <w:rPr>
          <w:bCs/>
          <w:i/>
          <w:szCs w:val="24"/>
          <w:lang w:eastAsia="ru-RU"/>
        </w:rPr>
        <w:t>декларации связи</w:t>
      </w:r>
      <w:r>
        <w:rPr>
          <w:bCs/>
          <w:szCs w:val="24"/>
          <w:lang w:eastAsia="ru-RU"/>
        </w:rPr>
        <w:t xml:space="preserve">. </w:t>
      </w:r>
      <w:hyperlink r:id="rId30" w:tooltip="перечень средств связи, подлежащих  обязательной сертификации" w:history="1">
        <w:r>
          <w:rPr>
            <w:bCs/>
            <w:szCs w:val="24"/>
            <w:lang w:eastAsia="ru-RU"/>
          </w:rPr>
          <w:t xml:space="preserve">Перечень средств связи, подлежащих </w:t>
        </w:r>
        <w:r>
          <w:rPr>
            <w:bCs/>
            <w:i/>
            <w:szCs w:val="24"/>
            <w:lang w:eastAsia="ru-RU"/>
          </w:rPr>
          <w:t>обязательной сертификации</w:t>
        </w:r>
      </w:hyperlink>
      <w:r>
        <w:rPr>
          <w:bCs/>
          <w:szCs w:val="24"/>
          <w:lang w:eastAsia="ru-RU"/>
        </w:rPr>
        <w:t>, приведен в П</w:t>
      </w:r>
      <w:r>
        <w:t>еречне средств связи, подлежащих обязательной сертификации</w:t>
      </w:r>
      <w:r>
        <w:rPr>
          <w:bCs/>
          <w:szCs w:val="24"/>
          <w:lang w:eastAsia="ru-RU"/>
        </w:rPr>
        <w:t>:</w:t>
      </w:r>
    </w:p>
    <w:p>
      <w:pPr>
        <w:numPr>
          <w:ilvl w:val="0"/>
          <w:numId w:val="2"/>
        </w:numPr>
        <w:tabs>
          <w:tab w:val="num" w:pos="540"/>
        </w:tabs>
        <w:spacing w:before="120"/>
        <w:ind w:left="538" w:hanging="357"/>
        <w:jc w:val="both"/>
        <w:rPr>
          <w:szCs w:val="24"/>
        </w:rPr>
      </w:pPr>
      <w:r>
        <w:rPr>
          <w:szCs w:val="24"/>
        </w:rPr>
        <w:t>средства связи, выполняющие функции систем коммутации;</w:t>
      </w:r>
    </w:p>
    <w:p>
      <w:pPr>
        <w:numPr>
          <w:ilvl w:val="0"/>
          <w:numId w:val="2"/>
        </w:numPr>
        <w:tabs>
          <w:tab w:val="num" w:pos="540"/>
        </w:tabs>
        <w:spacing w:before="120"/>
        <w:ind w:left="538" w:hanging="357"/>
        <w:jc w:val="both"/>
        <w:rPr>
          <w:szCs w:val="24"/>
        </w:rPr>
      </w:pPr>
      <w:r>
        <w:rPr>
          <w:szCs w:val="24"/>
        </w:rPr>
        <w:t>средства связи, выполняющие функции цифровых транспортных систем;</w:t>
      </w:r>
    </w:p>
    <w:p>
      <w:pPr>
        <w:numPr>
          <w:ilvl w:val="0"/>
          <w:numId w:val="2"/>
        </w:numPr>
        <w:tabs>
          <w:tab w:val="num" w:pos="540"/>
        </w:tabs>
        <w:spacing w:before="120"/>
        <w:ind w:left="538" w:hanging="357"/>
        <w:jc w:val="both"/>
        <w:rPr>
          <w:szCs w:val="24"/>
        </w:rPr>
      </w:pPr>
      <w:r>
        <w:rPr>
          <w:szCs w:val="24"/>
        </w:rPr>
        <w:t>средства связи, выполняющие функции систем управления и мониторинга;</w:t>
      </w:r>
    </w:p>
    <w:p>
      <w:pPr>
        <w:numPr>
          <w:ilvl w:val="0"/>
          <w:numId w:val="2"/>
        </w:numPr>
        <w:tabs>
          <w:tab w:val="num" w:pos="540"/>
        </w:tabs>
        <w:spacing w:before="120"/>
        <w:ind w:left="538" w:hanging="357"/>
        <w:jc w:val="both"/>
        <w:rPr>
          <w:szCs w:val="24"/>
        </w:rPr>
      </w:pPr>
      <w:r>
        <w:rPr>
          <w:szCs w:val="24"/>
        </w:rPr>
        <w:t>оборудование, используемое для учета объема оказанных услуг связи в сетях связи общего пользования;</w:t>
      </w:r>
    </w:p>
    <w:p>
      <w:pPr>
        <w:numPr>
          <w:ilvl w:val="0"/>
          <w:numId w:val="2"/>
        </w:numPr>
        <w:tabs>
          <w:tab w:val="num" w:pos="540"/>
        </w:tabs>
        <w:spacing w:before="120"/>
        <w:ind w:left="538" w:hanging="357"/>
        <w:jc w:val="both"/>
        <w:rPr>
          <w:szCs w:val="24"/>
        </w:rPr>
      </w:pPr>
      <w:r>
        <w:rPr>
          <w:szCs w:val="24"/>
        </w:rPr>
        <w:t>РЭС связи;</w:t>
      </w:r>
    </w:p>
    <w:p>
      <w:pPr>
        <w:numPr>
          <w:ilvl w:val="0"/>
          <w:numId w:val="2"/>
        </w:numPr>
        <w:tabs>
          <w:tab w:val="num" w:pos="540"/>
        </w:tabs>
        <w:spacing w:before="120"/>
        <w:ind w:left="538" w:hanging="357"/>
        <w:jc w:val="both"/>
        <w:rPr>
          <w:szCs w:val="24"/>
        </w:rPr>
      </w:pPr>
      <w:r>
        <w:rPr>
          <w:szCs w:val="24"/>
        </w:rPr>
        <w:t>оборудование, в том числе ПО, обеспечивающее выполнение установленных действий при проведении оперативно-розыскных мероприятий.</w:t>
      </w:r>
    </w:p>
    <w:p>
      <w:pPr>
        <w:pStyle w:val="S4"/>
      </w:pPr>
    </w:p>
    <w:p>
      <w:pPr>
        <w:jc w:val="both"/>
        <w:rPr>
          <w:bCs/>
          <w:szCs w:val="24"/>
          <w:lang w:eastAsia="ru-RU"/>
        </w:rPr>
      </w:pPr>
      <w:r>
        <w:rPr>
          <w:bCs/>
          <w:szCs w:val="24"/>
          <w:lang w:eastAsia="ru-RU"/>
        </w:rPr>
        <w:t xml:space="preserve">Все средства связи, не вошедшие </w:t>
      </w:r>
      <w:hyperlink r:id="rId31" w:tooltip="перечень средств связи, подлежащих  обязательной сертификации" w:history="1">
        <w:r>
          <w:rPr>
            <w:bCs/>
            <w:szCs w:val="24"/>
            <w:lang w:eastAsia="ru-RU"/>
          </w:rPr>
          <w:t>в перечень оборудования связи, подлежащего обязательной сертификации</w:t>
        </w:r>
      </w:hyperlink>
      <w:r>
        <w:rPr>
          <w:bCs/>
          <w:szCs w:val="24"/>
          <w:lang w:eastAsia="ru-RU"/>
        </w:rPr>
        <w:t xml:space="preserve">, подлежат </w:t>
      </w:r>
      <w:r>
        <w:rPr>
          <w:bCs/>
          <w:i/>
          <w:szCs w:val="24"/>
          <w:lang w:eastAsia="ru-RU"/>
        </w:rPr>
        <w:t>декларированию соответствия</w:t>
      </w:r>
      <w:r>
        <w:rPr>
          <w:bCs/>
          <w:szCs w:val="24"/>
          <w:lang w:eastAsia="ru-RU"/>
        </w:rPr>
        <w:t>:</w:t>
      </w:r>
    </w:p>
    <w:p>
      <w:pPr>
        <w:numPr>
          <w:ilvl w:val="0"/>
          <w:numId w:val="2"/>
        </w:numPr>
        <w:tabs>
          <w:tab w:val="num" w:pos="540"/>
        </w:tabs>
        <w:spacing w:before="120"/>
        <w:ind w:left="538" w:hanging="357"/>
        <w:jc w:val="both"/>
        <w:rPr>
          <w:szCs w:val="24"/>
        </w:rPr>
      </w:pPr>
      <w:r>
        <w:rPr>
          <w:szCs w:val="24"/>
        </w:rPr>
        <w:t>оконечные средства, в том числе радиоэлектронные;</w:t>
      </w:r>
    </w:p>
    <w:p>
      <w:pPr>
        <w:numPr>
          <w:ilvl w:val="0"/>
          <w:numId w:val="2"/>
        </w:numPr>
        <w:tabs>
          <w:tab w:val="num" w:pos="540"/>
        </w:tabs>
        <w:spacing w:before="120"/>
        <w:ind w:left="538" w:hanging="357"/>
        <w:jc w:val="both"/>
        <w:rPr>
          <w:szCs w:val="24"/>
        </w:rPr>
      </w:pPr>
      <w:r>
        <w:rPr>
          <w:szCs w:val="24"/>
        </w:rPr>
        <w:t>кабели связи и кабельные оборудование;</w:t>
      </w:r>
    </w:p>
    <w:p>
      <w:pPr>
        <w:numPr>
          <w:ilvl w:val="0"/>
          <w:numId w:val="2"/>
        </w:numPr>
        <w:tabs>
          <w:tab w:val="num" w:pos="540"/>
        </w:tabs>
        <w:spacing w:before="120"/>
        <w:ind w:left="538" w:hanging="357"/>
        <w:jc w:val="both"/>
        <w:rPr>
          <w:szCs w:val="24"/>
        </w:rPr>
      </w:pPr>
      <w:r>
        <w:rPr>
          <w:szCs w:val="24"/>
        </w:rPr>
        <w:t>антенны и фидерные устройства;</w:t>
      </w:r>
    </w:p>
    <w:p>
      <w:pPr>
        <w:numPr>
          <w:ilvl w:val="0"/>
          <w:numId w:val="2"/>
        </w:numPr>
        <w:tabs>
          <w:tab w:val="num" w:pos="540"/>
        </w:tabs>
        <w:spacing w:before="120"/>
        <w:ind w:left="538" w:hanging="357"/>
        <w:jc w:val="both"/>
        <w:rPr>
          <w:szCs w:val="24"/>
        </w:rPr>
      </w:pPr>
      <w:r>
        <w:rPr>
          <w:szCs w:val="24"/>
        </w:rPr>
        <w:t>средства и системы, реализующие сетевые дополнительные услуги;</w:t>
      </w:r>
    </w:p>
    <w:p>
      <w:pPr>
        <w:numPr>
          <w:ilvl w:val="0"/>
          <w:numId w:val="2"/>
        </w:numPr>
        <w:tabs>
          <w:tab w:val="num" w:pos="540"/>
        </w:tabs>
        <w:spacing w:before="120"/>
        <w:ind w:left="538" w:hanging="357"/>
        <w:jc w:val="both"/>
        <w:rPr>
          <w:szCs w:val="24"/>
        </w:rPr>
      </w:pPr>
      <w:r>
        <w:rPr>
          <w:szCs w:val="24"/>
        </w:rPr>
        <w:t>оборудование проводного вещания;</w:t>
      </w:r>
    </w:p>
    <w:p>
      <w:pPr>
        <w:numPr>
          <w:ilvl w:val="0"/>
          <w:numId w:val="2"/>
        </w:numPr>
        <w:tabs>
          <w:tab w:val="num" w:pos="540"/>
        </w:tabs>
        <w:spacing w:before="120"/>
        <w:ind w:left="538" w:hanging="357"/>
        <w:jc w:val="both"/>
        <w:rPr>
          <w:szCs w:val="24"/>
        </w:rPr>
      </w:pPr>
      <w:r>
        <w:rPr>
          <w:szCs w:val="24"/>
        </w:rPr>
        <w:t>СЭ средств связи;</w:t>
      </w:r>
    </w:p>
    <w:p>
      <w:pPr>
        <w:numPr>
          <w:ilvl w:val="0"/>
          <w:numId w:val="2"/>
        </w:numPr>
        <w:tabs>
          <w:tab w:val="num" w:pos="540"/>
        </w:tabs>
        <w:spacing w:before="120"/>
        <w:ind w:left="538" w:hanging="357"/>
        <w:jc w:val="both"/>
        <w:rPr>
          <w:szCs w:val="24"/>
        </w:rPr>
      </w:pPr>
      <w:r>
        <w:rPr>
          <w:szCs w:val="24"/>
        </w:rPr>
        <w:t>средства технические телематических служб;</w:t>
      </w:r>
    </w:p>
    <w:p>
      <w:pPr>
        <w:numPr>
          <w:ilvl w:val="0"/>
          <w:numId w:val="2"/>
        </w:numPr>
        <w:tabs>
          <w:tab w:val="num" w:pos="540"/>
        </w:tabs>
        <w:spacing w:before="120"/>
        <w:ind w:left="538" w:hanging="357"/>
        <w:jc w:val="both"/>
        <w:rPr>
          <w:szCs w:val="24"/>
        </w:rPr>
      </w:pPr>
      <w:r>
        <w:rPr>
          <w:szCs w:val="24"/>
        </w:rPr>
        <w:t>средства измерений электросвязи.</w:t>
      </w:r>
    </w:p>
    <w:p>
      <w:pPr>
        <w:pStyle w:val="S4"/>
      </w:pPr>
    </w:p>
    <w:p>
      <w:pPr>
        <w:jc w:val="both"/>
        <w:rPr>
          <w:bCs/>
          <w:szCs w:val="24"/>
          <w:lang w:eastAsia="ru-RU"/>
        </w:rPr>
      </w:pPr>
      <w:r>
        <w:rPr>
          <w:bCs/>
          <w:szCs w:val="24"/>
          <w:lang w:eastAsia="ru-RU"/>
        </w:rPr>
        <w:t xml:space="preserve">Декларация связи требуется на оконечные (терминальное или абонентское) средства связи – проводные и беспроводные телефоны, IP телефоны, мобильные устройства, модемы, модули беспроводных компьютерных сетей технологии </w:t>
      </w:r>
      <w:r>
        <w:rPr>
          <w:bCs/>
          <w:szCs w:val="24"/>
          <w:lang w:val="en-US" w:eastAsia="ru-RU"/>
        </w:rPr>
        <w:t>Bluetooth</w:t>
      </w:r>
      <w:r>
        <w:rPr>
          <w:bCs/>
          <w:szCs w:val="24"/>
          <w:lang w:eastAsia="ru-RU"/>
        </w:rPr>
        <w:t xml:space="preserve"> и Wi-Fi стандартов 802.15 и 802.11a/b/g/n и т. д., сервера телематических служб, антенно-фидерные устройства.</w:t>
      </w:r>
    </w:p>
    <w:p>
      <w:pPr>
        <w:jc w:val="both"/>
        <w:rPr>
          <w:bCs/>
          <w:szCs w:val="24"/>
          <w:lang w:eastAsia="ru-RU"/>
        </w:rPr>
      </w:pPr>
    </w:p>
    <w:p>
      <w:pPr>
        <w:jc w:val="both"/>
        <w:rPr>
          <w:bCs/>
          <w:szCs w:val="24"/>
          <w:lang w:eastAsia="ru-RU"/>
        </w:rPr>
      </w:pPr>
      <w:r>
        <w:rPr>
          <w:bCs/>
          <w:szCs w:val="24"/>
          <w:lang w:eastAsia="ru-RU"/>
        </w:rPr>
        <w:t>Декларации связи и сертификаты связи необходимо хранить совместно с технической документацией на объекты.</w:t>
      </w:r>
    </w:p>
    <w:bookmarkEnd w:id="94"/>
    <w:p>
      <w:pPr>
        <w:jc w:val="both"/>
        <w:rPr>
          <w:bCs/>
          <w:szCs w:val="24"/>
          <w:lang w:eastAsia="ru-RU"/>
        </w:rPr>
      </w:pPr>
    </w:p>
    <w:p>
      <w:pPr>
        <w:pStyle w:val="10"/>
        <w:keepNext w:val="0"/>
        <w:tabs>
          <w:tab w:val="left" w:pos="360"/>
          <w:tab w:val="num" w:pos="540"/>
        </w:tabs>
        <w:spacing w:before="0" w:after="0"/>
        <w:jc w:val="both"/>
        <w:rPr>
          <w:bCs w:val="0"/>
          <w:szCs w:val="24"/>
          <w:lang w:eastAsia="ru-RU"/>
        </w:rPr>
        <w:sectPr>
          <w:headerReference w:type="even" r:id="rId32"/>
          <w:headerReference w:type="default" r:id="rId33"/>
          <w:headerReference w:type="first" r:id="rId34"/>
          <w:pgSz w:w="11906" w:h="16838" w:code="9"/>
          <w:pgMar w:top="510" w:right="1021" w:bottom="567" w:left="1247" w:header="737" w:footer="680" w:gutter="0"/>
          <w:cols w:space="708"/>
          <w:docGrid w:linePitch="360"/>
        </w:sectPr>
      </w:pPr>
    </w:p>
    <w:p>
      <w:pPr>
        <w:pStyle w:val="S1"/>
        <w:tabs>
          <w:tab w:val="left" w:pos="567"/>
        </w:tabs>
        <w:ind w:left="0" w:firstLine="0"/>
      </w:pPr>
      <w:bookmarkStart w:id="95" w:name="_Toc480899112"/>
      <w:r>
        <w:rPr>
          <w:caps w:val="0"/>
        </w:rPr>
        <w:lastRenderedPageBreak/>
        <w:t>МЕРЫ ОБЕСПЕЧЕНИЯ БЕЗОПАСНОСТИ ТЕЛЕКОММУНИКАЦИОННОЙ ИНФРАСТРУКТУРЫ</w:t>
      </w:r>
      <w:bookmarkEnd w:id="95"/>
    </w:p>
    <w:p/>
    <w:p/>
    <w:p>
      <w:pPr>
        <w:jc w:val="both"/>
        <w:rPr>
          <w:bCs/>
          <w:szCs w:val="24"/>
          <w:lang w:eastAsia="ru-RU"/>
        </w:rPr>
      </w:pPr>
      <w:r>
        <w:t>6</w:t>
      </w:r>
      <w:r>
        <w:rPr>
          <w:bCs/>
          <w:szCs w:val="24"/>
          <w:lang w:eastAsia="ru-RU"/>
        </w:rPr>
        <w:t>.1. Мерами обеспечения безопасности телекоммуникационной инфраструктуры являются:</w:t>
      </w:r>
    </w:p>
    <w:p>
      <w:pPr>
        <w:numPr>
          <w:ilvl w:val="0"/>
          <w:numId w:val="2"/>
        </w:numPr>
        <w:tabs>
          <w:tab w:val="num" w:pos="540"/>
        </w:tabs>
        <w:spacing w:before="120"/>
        <w:ind w:left="538" w:hanging="357"/>
        <w:jc w:val="both"/>
        <w:rPr>
          <w:szCs w:val="24"/>
        </w:rPr>
      </w:pPr>
      <w:r>
        <w:rPr>
          <w:szCs w:val="24"/>
        </w:rPr>
        <w:t>подтверждение соответствия средств связи, наличие документации объектов инфраструктуры связи;</w:t>
      </w:r>
    </w:p>
    <w:p>
      <w:pPr>
        <w:numPr>
          <w:ilvl w:val="0"/>
          <w:numId w:val="2"/>
        </w:numPr>
        <w:tabs>
          <w:tab w:val="num" w:pos="540"/>
        </w:tabs>
        <w:spacing w:before="120"/>
        <w:ind w:left="538" w:hanging="357"/>
        <w:jc w:val="both"/>
        <w:rPr>
          <w:szCs w:val="24"/>
        </w:rPr>
      </w:pPr>
      <w:r>
        <w:rPr>
          <w:szCs w:val="24"/>
        </w:rPr>
        <w:t xml:space="preserve">анализ соответствия требованиям безопасности </w:t>
      </w:r>
      <w:r>
        <w:rPr>
          <w:bCs/>
          <w:szCs w:val="24"/>
          <w:lang w:eastAsia="ru-RU"/>
        </w:rPr>
        <w:t>телекоммуникационной инфраструктуры</w:t>
      </w:r>
      <w:r>
        <w:rPr>
          <w:szCs w:val="24"/>
        </w:rPr>
        <w:t>;</w:t>
      </w:r>
    </w:p>
    <w:p>
      <w:pPr>
        <w:numPr>
          <w:ilvl w:val="0"/>
          <w:numId w:val="2"/>
        </w:numPr>
        <w:tabs>
          <w:tab w:val="num" w:pos="540"/>
        </w:tabs>
        <w:spacing w:before="120"/>
        <w:ind w:left="538" w:hanging="357"/>
        <w:jc w:val="both"/>
        <w:rPr>
          <w:szCs w:val="24"/>
        </w:rPr>
      </w:pPr>
      <w:r>
        <w:rPr>
          <w:szCs w:val="24"/>
        </w:rPr>
        <w:t xml:space="preserve">осуществление экономически обоснованных мер по выполнению требований безопасности </w:t>
      </w:r>
      <w:r>
        <w:rPr>
          <w:bCs/>
          <w:szCs w:val="24"/>
          <w:lang w:eastAsia="ru-RU"/>
        </w:rPr>
        <w:t>телекоммуникационной инфраструктуры</w:t>
      </w:r>
      <w:r>
        <w:rPr>
          <w:szCs w:val="24"/>
        </w:rPr>
        <w:t xml:space="preserve"> с учетом п. 7.5 настоящих Методических указаний;</w:t>
      </w:r>
    </w:p>
    <w:p>
      <w:pPr>
        <w:numPr>
          <w:ilvl w:val="0"/>
          <w:numId w:val="2"/>
        </w:numPr>
        <w:tabs>
          <w:tab w:val="num" w:pos="540"/>
        </w:tabs>
        <w:spacing w:before="120"/>
        <w:ind w:left="538" w:hanging="357"/>
        <w:jc w:val="both"/>
        <w:rPr>
          <w:szCs w:val="24"/>
        </w:rPr>
      </w:pPr>
      <w:r>
        <w:rPr>
          <w:szCs w:val="24"/>
        </w:rPr>
        <w:t>предотвращение или обнаружение воздействий, пресечение их реализации, локализация и ликвидация последствий дестабилизирующих воздействий на инфраструктуру связи;</w:t>
      </w:r>
    </w:p>
    <w:p>
      <w:pPr>
        <w:numPr>
          <w:ilvl w:val="0"/>
          <w:numId w:val="2"/>
        </w:numPr>
        <w:tabs>
          <w:tab w:val="num" w:pos="540"/>
        </w:tabs>
        <w:spacing w:before="120"/>
        <w:ind w:left="538" w:hanging="357"/>
        <w:jc w:val="both"/>
        <w:rPr>
          <w:szCs w:val="24"/>
        </w:rPr>
      </w:pPr>
      <w:r>
        <w:rPr>
          <w:szCs w:val="24"/>
        </w:rPr>
        <w:t xml:space="preserve">мониторинг выполнения требований безопасности </w:t>
      </w:r>
      <w:r>
        <w:rPr>
          <w:bCs/>
          <w:szCs w:val="24"/>
          <w:lang w:eastAsia="ru-RU"/>
        </w:rPr>
        <w:t>телекоммуникационной инфраструктуры</w:t>
      </w:r>
      <w:r>
        <w:rPr>
          <w:szCs w:val="24"/>
        </w:rPr>
        <w:t>, реакция на невыполнение требований безопасности</w:t>
      </w:r>
      <w:r>
        <w:rPr>
          <w:bCs/>
          <w:szCs w:val="24"/>
          <w:lang w:eastAsia="ru-RU"/>
        </w:rPr>
        <w:t xml:space="preserve"> телекоммуникационной инфраструктуры</w:t>
      </w:r>
      <w:r>
        <w:rPr>
          <w:szCs w:val="24"/>
        </w:rPr>
        <w:t>;</w:t>
      </w:r>
    </w:p>
    <w:p>
      <w:pPr>
        <w:numPr>
          <w:ilvl w:val="0"/>
          <w:numId w:val="2"/>
        </w:numPr>
        <w:tabs>
          <w:tab w:val="num" w:pos="540"/>
        </w:tabs>
        <w:spacing w:before="120"/>
        <w:ind w:left="538" w:hanging="357"/>
        <w:jc w:val="both"/>
      </w:pPr>
      <w:r>
        <w:rPr>
          <w:szCs w:val="24"/>
        </w:rPr>
        <w:t xml:space="preserve">доведение и требование выполнения </w:t>
      </w:r>
      <w:r>
        <w:t>от операторов связи, поставщиков и производителей оборудования, сервисных (подрядных) организаций требований безопасности инфраструктуры связи, ведение претензионной работы в соответствии с условиями, заключенных договоров.</w:t>
      </w:r>
    </w:p>
    <w:p>
      <w:pPr>
        <w:pStyle w:val="S4"/>
      </w:pPr>
    </w:p>
    <w:p>
      <w:pPr>
        <w:jc w:val="both"/>
        <w:rPr>
          <w:bCs/>
          <w:szCs w:val="24"/>
          <w:lang w:eastAsia="ru-RU"/>
        </w:rPr>
      </w:pPr>
      <w:r>
        <w:rPr>
          <w:bCs/>
          <w:szCs w:val="24"/>
          <w:lang w:eastAsia="ru-RU"/>
        </w:rPr>
        <w:t>6.2. Меры обеспечения безопасности инфраструктуры связи не должны ухудшать количественные характеристики систем электросвязи и снижать оперативность сервисов связи и обработки информации.</w:t>
      </w:r>
    </w:p>
    <w:p>
      <w:pPr>
        <w:jc w:val="both"/>
        <w:rPr>
          <w:szCs w:val="24"/>
        </w:rPr>
      </w:pPr>
    </w:p>
    <w:p>
      <w:pPr>
        <w:tabs>
          <w:tab w:val="num" w:pos="540"/>
        </w:tabs>
        <w:jc w:val="both"/>
        <w:rPr>
          <w:bCs/>
          <w:szCs w:val="24"/>
          <w:lang w:eastAsia="ru-RU"/>
        </w:rPr>
      </w:pPr>
      <w:r>
        <w:rPr>
          <w:bCs/>
          <w:szCs w:val="24"/>
          <w:lang w:eastAsia="ru-RU"/>
        </w:rPr>
        <w:t xml:space="preserve">6.3. Организация мероприятий, реализация и контроль выполнения требований безопасности телекоммуникационной инфраструктуры в Компании осуществляется </w:t>
      </w:r>
      <w:r>
        <w:t>СБ</w:t>
      </w:r>
      <w:r>
        <w:rPr>
          <w:bCs/>
          <w:szCs w:val="24"/>
          <w:lang w:eastAsia="ru-RU"/>
        </w:rPr>
        <w:t>.</w:t>
      </w:r>
    </w:p>
    <w:p>
      <w:pPr>
        <w:tabs>
          <w:tab w:val="num" w:pos="540"/>
        </w:tabs>
        <w:jc w:val="both"/>
        <w:rPr>
          <w:bCs/>
          <w:szCs w:val="24"/>
          <w:lang w:eastAsia="ru-RU"/>
        </w:rPr>
      </w:pPr>
    </w:p>
    <w:p>
      <w:pPr>
        <w:tabs>
          <w:tab w:val="num" w:pos="540"/>
        </w:tabs>
        <w:jc w:val="both"/>
        <w:rPr>
          <w:bCs/>
          <w:szCs w:val="24"/>
          <w:lang w:eastAsia="ru-RU"/>
        </w:rPr>
      </w:pPr>
      <w:r>
        <w:rPr>
          <w:bCs/>
          <w:szCs w:val="24"/>
          <w:lang w:eastAsia="ru-RU"/>
        </w:rPr>
        <w:t>6.4. Вопросы обеспечения безопасности телекоммуникационной инфраструктуры рассматриваются и прописываются в заключаемых договорах ПАО «НК Роснефть» и ОГ с подрядными (сервисными) организациями, с</w:t>
      </w:r>
      <w:r>
        <w:t xml:space="preserve"> производителями и поставщиками (</w:t>
      </w:r>
      <w:r>
        <w:rPr>
          <w:bCs/>
          <w:szCs w:val="24"/>
          <w:lang w:eastAsia="ru-RU"/>
        </w:rPr>
        <w:t xml:space="preserve">компаниями и организациями, обеспечивающими предоставление услуг связи и обслуживание инфраструктуры связи, в т. ч. и со специализированными организациями, имеющими лицензии на определенный вид деятельности), а также в </w:t>
      </w:r>
      <w:r>
        <w:rPr>
          <w:bCs/>
          <w:szCs w:val="24"/>
          <w:lang w:val="en-US" w:eastAsia="ru-RU"/>
        </w:rPr>
        <w:t>SLA</w:t>
      </w:r>
      <w:r>
        <w:rPr>
          <w:bCs/>
          <w:szCs w:val="24"/>
          <w:lang w:eastAsia="ru-RU"/>
        </w:rPr>
        <w:t>.</w:t>
      </w:r>
    </w:p>
    <w:p>
      <w:pPr>
        <w:pStyle w:val="S4"/>
      </w:pPr>
    </w:p>
    <w:p>
      <w:pPr>
        <w:pStyle w:val="S4"/>
      </w:pPr>
    </w:p>
    <w:p>
      <w:pPr>
        <w:sectPr>
          <w:headerReference w:type="even" r:id="rId35"/>
          <w:headerReference w:type="default" r:id="rId36"/>
          <w:headerReference w:type="first" r:id="rId37"/>
          <w:pgSz w:w="11906" w:h="16838" w:code="9"/>
          <w:pgMar w:top="510" w:right="1021" w:bottom="567" w:left="1247" w:header="737" w:footer="680" w:gutter="0"/>
          <w:cols w:space="708"/>
          <w:docGrid w:linePitch="360"/>
        </w:sectPr>
      </w:pPr>
    </w:p>
    <w:p>
      <w:pPr>
        <w:pStyle w:val="S1"/>
        <w:tabs>
          <w:tab w:val="left" w:pos="567"/>
        </w:tabs>
        <w:ind w:left="0" w:firstLine="0"/>
        <w:rPr>
          <w:caps w:val="0"/>
        </w:rPr>
      </w:pPr>
      <w:bookmarkStart w:id="96" w:name="_Toc480899113"/>
      <w:r>
        <w:rPr>
          <w:caps w:val="0"/>
        </w:rPr>
        <w:lastRenderedPageBreak/>
        <w:t>ТРЕБОВАНИЯ К ОБЪЕКТАМ ТЕЛЕКОММУНИКАЦИОННОЙ ИНФРАСТРУКТУРЫ</w:t>
      </w:r>
      <w:bookmarkEnd w:id="96"/>
    </w:p>
    <w:p/>
    <w:p/>
    <w:p>
      <w:pPr>
        <w:jc w:val="both"/>
        <w:rPr>
          <w:bCs/>
          <w:szCs w:val="24"/>
          <w:lang w:eastAsia="ru-RU"/>
        </w:rPr>
      </w:pPr>
      <w:bookmarkStart w:id="97" w:name="_Toc142735126"/>
      <w:r>
        <w:rPr>
          <w:bCs/>
          <w:szCs w:val="24"/>
          <w:lang w:eastAsia="ru-RU"/>
        </w:rPr>
        <w:t>7.1. </w:t>
      </w:r>
      <w:bookmarkEnd w:id="97"/>
      <w:r>
        <w:rPr>
          <w:bCs/>
          <w:szCs w:val="24"/>
          <w:lang w:eastAsia="ru-RU"/>
        </w:rPr>
        <w:t xml:space="preserve">Архитектурно-строительные требования к </w:t>
      </w:r>
      <w:r>
        <w:t>объектам</w:t>
      </w:r>
      <w:r>
        <w:rPr>
          <w:caps/>
        </w:rPr>
        <w:t xml:space="preserve"> </w:t>
      </w:r>
      <w:r>
        <w:t>телекоммуникационной</w:t>
      </w:r>
      <w:r>
        <w:rPr>
          <w:caps/>
        </w:rPr>
        <w:t xml:space="preserve"> </w:t>
      </w:r>
      <w:r>
        <w:t>инфраструктуры</w:t>
      </w:r>
    </w:p>
    <w:p>
      <w:pPr>
        <w:jc w:val="both"/>
        <w:rPr>
          <w:bCs/>
          <w:szCs w:val="24"/>
          <w:lang w:eastAsia="ru-RU"/>
        </w:rPr>
      </w:pPr>
    </w:p>
    <w:p>
      <w:pPr>
        <w:jc w:val="both"/>
        <w:rPr>
          <w:bCs/>
          <w:szCs w:val="24"/>
          <w:lang w:eastAsia="ru-RU"/>
        </w:rPr>
      </w:pPr>
      <w:r>
        <w:rPr>
          <w:bCs/>
          <w:szCs w:val="24"/>
          <w:lang w:eastAsia="ru-RU"/>
        </w:rPr>
        <w:t>ЦОД, серверные помещения, кроссовые помещения, коммутационные помещения (УПАТС, ОПТС, АТС) могут размещаться в арендуемом или собственном здании Компании. Для ЦОД целесообразно выделять отдельный этаж (этажи).</w:t>
      </w:r>
    </w:p>
    <w:p>
      <w:pPr>
        <w:jc w:val="both"/>
        <w:rPr>
          <w:bCs/>
          <w:szCs w:val="24"/>
          <w:lang w:eastAsia="ru-RU"/>
        </w:rPr>
      </w:pPr>
    </w:p>
    <w:p>
      <w:pPr>
        <w:jc w:val="both"/>
        <w:rPr>
          <w:bCs/>
          <w:szCs w:val="24"/>
          <w:lang w:eastAsia="ru-RU"/>
        </w:rPr>
      </w:pPr>
      <w:r>
        <w:rPr>
          <w:bCs/>
          <w:szCs w:val="24"/>
          <w:lang w:eastAsia="ru-RU"/>
        </w:rPr>
        <w:t>Серверные помещения, кроссовые помещения, коммутационные помещения (УПАТС, ОПТС, АТС) предприятий комплекса нефтепереработки необходимо размещать непосредственно на территории Компании.</w:t>
      </w:r>
    </w:p>
    <w:p>
      <w:pPr>
        <w:jc w:val="both"/>
        <w:rPr>
          <w:bCs/>
          <w:szCs w:val="24"/>
          <w:lang w:eastAsia="ru-RU"/>
        </w:rPr>
      </w:pPr>
    </w:p>
    <w:p>
      <w:pPr>
        <w:jc w:val="both"/>
        <w:rPr>
          <w:szCs w:val="24"/>
        </w:rPr>
      </w:pPr>
      <w:bookmarkStart w:id="98" w:name="_Toc142735127"/>
      <w:r>
        <w:rPr>
          <w:bCs/>
          <w:szCs w:val="24"/>
          <w:lang w:eastAsia="ru-RU"/>
        </w:rPr>
        <w:t>7.1.1. </w:t>
      </w:r>
      <w:bookmarkEnd w:id="98"/>
      <w:r>
        <w:rPr>
          <w:szCs w:val="24"/>
        </w:rPr>
        <w:t>Требования к местоположению</w:t>
      </w:r>
    </w:p>
    <w:p>
      <w:pPr>
        <w:jc w:val="both"/>
        <w:rPr>
          <w:szCs w:val="24"/>
        </w:rPr>
      </w:pPr>
    </w:p>
    <w:p>
      <w:pPr>
        <w:jc w:val="both"/>
        <w:rPr>
          <w:bCs/>
          <w:szCs w:val="24"/>
          <w:lang w:eastAsia="ru-RU"/>
        </w:rPr>
      </w:pPr>
      <w:r>
        <w:rPr>
          <w:bCs/>
          <w:szCs w:val="24"/>
          <w:lang w:eastAsia="ru-RU"/>
        </w:rPr>
        <w:t>Серверное помещение должно располагаться в отдельном помещении, по возможности, не имеющем внешних стен здания.</w:t>
      </w:r>
    </w:p>
    <w:p>
      <w:pPr>
        <w:jc w:val="both"/>
        <w:rPr>
          <w:bCs/>
          <w:szCs w:val="24"/>
          <w:lang w:eastAsia="ru-RU"/>
        </w:rPr>
      </w:pPr>
    </w:p>
    <w:p>
      <w:pPr>
        <w:jc w:val="both"/>
      </w:pPr>
      <w:r>
        <w:t>Серверное помещение запрещается располагать:</w:t>
      </w:r>
    </w:p>
    <w:p>
      <w:pPr>
        <w:numPr>
          <w:ilvl w:val="0"/>
          <w:numId w:val="2"/>
        </w:numPr>
        <w:tabs>
          <w:tab w:val="num" w:pos="540"/>
        </w:tabs>
        <w:spacing w:before="120"/>
        <w:ind w:left="538" w:hanging="357"/>
        <w:jc w:val="both"/>
        <w:rPr>
          <w:szCs w:val="24"/>
        </w:rPr>
      </w:pPr>
      <w:r>
        <w:rPr>
          <w:szCs w:val="24"/>
        </w:rPr>
        <w:t>в проходном помещении;</w:t>
      </w:r>
    </w:p>
    <w:p>
      <w:pPr>
        <w:numPr>
          <w:ilvl w:val="0"/>
          <w:numId w:val="2"/>
        </w:numPr>
        <w:tabs>
          <w:tab w:val="num" w:pos="540"/>
        </w:tabs>
        <w:spacing w:before="120"/>
        <w:ind w:left="538" w:hanging="357"/>
        <w:jc w:val="both"/>
        <w:rPr>
          <w:szCs w:val="24"/>
        </w:rPr>
      </w:pPr>
      <w:r>
        <w:rPr>
          <w:szCs w:val="24"/>
        </w:rPr>
        <w:t>в подвальных помещениях;</w:t>
      </w:r>
    </w:p>
    <w:p>
      <w:pPr>
        <w:numPr>
          <w:ilvl w:val="0"/>
          <w:numId w:val="2"/>
        </w:numPr>
        <w:tabs>
          <w:tab w:val="num" w:pos="540"/>
        </w:tabs>
        <w:spacing w:before="120"/>
        <w:ind w:left="538" w:hanging="357"/>
        <w:jc w:val="both"/>
        <w:rPr>
          <w:szCs w:val="24"/>
        </w:rPr>
      </w:pPr>
      <w:r>
        <w:rPr>
          <w:szCs w:val="24"/>
        </w:rPr>
        <w:t>рядом с помещениями с высокой влажностью, для хранения пожароопасных и агрессивных химических материалов.</w:t>
      </w:r>
    </w:p>
    <w:p>
      <w:pPr>
        <w:pStyle w:val="S4"/>
      </w:pPr>
    </w:p>
    <w:p>
      <w:pPr>
        <w:jc w:val="both"/>
        <w:rPr>
          <w:bCs/>
          <w:szCs w:val="24"/>
          <w:lang w:eastAsia="ru-RU"/>
        </w:rPr>
      </w:pPr>
      <w:r>
        <w:rPr>
          <w:bCs/>
          <w:szCs w:val="24"/>
          <w:lang w:eastAsia="ru-RU"/>
        </w:rPr>
        <w:t>Серверное помещение рекомендуется размещать ближе к геометрическому центру здания. В серверном помещении должно быть места для установки, эксплуатации и технического обслуживания, как основного оборудования, так и размещения средств поддержки обслуживающего персонала. Несущие конструкции здания для серверного помещения должны выдерживать расчетную нагрузку, включающую вес средств телекоммункаций, обслуживающего персонала и другого оборудования инфраструктуры. Телекоммуникационные средства серверных помещений размещается в стойках и шкафах. Стойки снабжены боковыми монтажными направляющими, к которым монтируются оборудование и арматура. Шкафы имеют боковые монтажные направляющие, боковые стенки, верхнюю панель-крышку, переднюю и заднюю дверцы, и снабжены запирающими устройствами. В серверных помещениях необходимо применять шкафы и стойки, имеющие 19-ти дюймовый конструктив.</w:t>
      </w:r>
    </w:p>
    <w:p>
      <w:pPr>
        <w:jc w:val="both"/>
        <w:rPr>
          <w:bCs/>
          <w:szCs w:val="24"/>
          <w:lang w:eastAsia="ru-RU"/>
        </w:rPr>
      </w:pPr>
    </w:p>
    <w:p>
      <w:pPr>
        <w:jc w:val="both"/>
        <w:rPr>
          <w:bCs/>
          <w:szCs w:val="24"/>
          <w:lang w:eastAsia="ru-RU"/>
        </w:rPr>
      </w:pPr>
      <w:r>
        <w:rPr>
          <w:bCs/>
          <w:szCs w:val="24"/>
          <w:lang w:eastAsia="ru-RU"/>
        </w:rPr>
        <w:t>Ширина всех проходов в серверном помещении должна быть не менее 0,8 м. Расстояние между стенами должно быть не менее 2,6 м. Размер серверного помещения должен быть не менее 14 кв. м.</w:t>
      </w:r>
    </w:p>
    <w:p>
      <w:pPr>
        <w:jc w:val="both"/>
        <w:rPr>
          <w:bCs/>
          <w:szCs w:val="24"/>
          <w:lang w:eastAsia="ru-RU"/>
        </w:rPr>
      </w:pPr>
    </w:p>
    <w:p>
      <w:pPr>
        <w:jc w:val="both"/>
        <w:rPr>
          <w:bCs/>
          <w:szCs w:val="24"/>
          <w:lang w:eastAsia="ru-RU"/>
        </w:rPr>
      </w:pPr>
      <w:r>
        <w:rPr>
          <w:bCs/>
          <w:szCs w:val="24"/>
          <w:lang w:eastAsia="ru-RU"/>
        </w:rPr>
        <w:t>7.1.2. Требования к дверным проемам и окнам</w:t>
      </w:r>
    </w:p>
    <w:p>
      <w:pPr>
        <w:jc w:val="both"/>
        <w:rPr>
          <w:bCs/>
          <w:szCs w:val="24"/>
          <w:lang w:eastAsia="ru-RU"/>
        </w:rPr>
      </w:pPr>
    </w:p>
    <w:p>
      <w:pPr>
        <w:jc w:val="both"/>
        <w:rPr>
          <w:bCs/>
          <w:szCs w:val="24"/>
          <w:lang w:eastAsia="ru-RU"/>
        </w:rPr>
      </w:pPr>
      <w:r>
        <w:rPr>
          <w:bCs/>
          <w:szCs w:val="24"/>
          <w:lang w:eastAsia="ru-RU"/>
        </w:rPr>
        <w:t xml:space="preserve">Серверное помещение должно быть без оконных проемов с глухими стенами. В серверном помещении, а также на пути транспортировки оборудования, ширина дверей должна быть не менее 910 мм и высотой не менее 2 метров. Допускается использование раздвижной двери. </w:t>
      </w:r>
      <w:r>
        <w:rPr>
          <w:bCs/>
          <w:szCs w:val="24"/>
          <w:lang w:eastAsia="ru-RU"/>
        </w:rPr>
        <w:lastRenderedPageBreak/>
        <w:t>Навесная дверь должна открываться наружу, раскрытие двери должно быть не менее 1800 мм.</w:t>
      </w:r>
    </w:p>
    <w:p>
      <w:pPr>
        <w:jc w:val="both"/>
        <w:rPr>
          <w:bCs/>
        </w:rPr>
      </w:pPr>
    </w:p>
    <w:p>
      <w:pPr>
        <w:jc w:val="both"/>
        <w:rPr>
          <w:bCs/>
          <w:szCs w:val="24"/>
          <w:lang w:eastAsia="ru-RU"/>
        </w:rPr>
      </w:pPr>
      <w:r>
        <w:rPr>
          <w:bCs/>
          <w:szCs w:val="24"/>
          <w:lang w:eastAsia="ru-RU"/>
        </w:rPr>
        <w:t>Для вноса габаритного оборудования в серверное помещение рекомендуется установить двойную дверь с проемом в ширину не менее 1,82 метра и высотой не менее 2,28 метра.</w:t>
      </w:r>
    </w:p>
    <w:p>
      <w:pPr>
        <w:jc w:val="both"/>
        <w:rPr>
          <w:bCs/>
        </w:rPr>
      </w:pPr>
    </w:p>
    <w:p>
      <w:pPr>
        <w:jc w:val="both"/>
        <w:rPr>
          <w:bCs/>
          <w:szCs w:val="24"/>
          <w:lang w:eastAsia="ru-RU"/>
        </w:rPr>
      </w:pPr>
      <w:r>
        <w:rPr>
          <w:bCs/>
          <w:szCs w:val="24"/>
          <w:lang w:eastAsia="ru-RU"/>
        </w:rPr>
        <w:t>7.1.3. Требования к отделке</w:t>
      </w:r>
    </w:p>
    <w:p>
      <w:pPr>
        <w:jc w:val="both"/>
        <w:rPr>
          <w:bCs/>
          <w:szCs w:val="24"/>
          <w:lang w:eastAsia="ru-RU"/>
        </w:rPr>
      </w:pPr>
    </w:p>
    <w:p>
      <w:pPr>
        <w:autoSpaceDE w:val="0"/>
        <w:autoSpaceDN w:val="0"/>
        <w:adjustRightInd w:val="0"/>
        <w:jc w:val="both"/>
        <w:rPr>
          <w:szCs w:val="24"/>
        </w:rPr>
      </w:pPr>
      <w:r>
        <w:rPr>
          <w:bCs/>
          <w:szCs w:val="24"/>
          <w:lang w:eastAsia="ru-RU"/>
        </w:rPr>
        <w:t xml:space="preserve">Стены и потолки должны быть снабжены пароизоляцией для поддержания влажности в заданных пределах. Стены, колонны и потолок должны быть выровнены беспористым бетоном и окрашены в светлый тон. Капитальные стены серверного помещения должны иметь шумоизоляцию. Покраска серверного помещения производится краской с высокой стойкостью к механическим воздействиям и непылеобразующей, например, акриловой или силиконовой краской. Масляная краска для этого не </w:t>
      </w:r>
      <w:r>
        <w:rPr>
          <w:szCs w:val="24"/>
        </w:rPr>
        <w:t xml:space="preserve">пригодна. </w:t>
      </w:r>
    </w:p>
    <w:p>
      <w:pPr>
        <w:autoSpaceDE w:val="0"/>
        <w:autoSpaceDN w:val="0"/>
        <w:adjustRightInd w:val="0"/>
        <w:jc w:val="both"/>
        <w:rPr>
          <w:szCs w:val="24"/>
        </w:rPr>
      </w:pPr>
    </w:p>
    <w:p>
      <w:pPr>
        <w:jc w:val="both"/>
        <w:rPr>
          <w:szCs w:val="24"/>
        </w:rPr>
      </w:pPr>
      <w:r>
        <w:rPr>
          <w:szCs w:val="24"/>
        </w:rPr>
        <w:t>7.1.4. Требования к прокладке инженерных коммуникаций</w:t>
      </w:r>
    </w:p>
    <w:p>
      <w:pPr>
        <w:jc w:val="both"/>
        <w:rPr>
          <w:szCs w:val="24"/>
        </w:rPr>
      </w:pPr>
    </w:p>
    <w:p>
      <w:pPr>
        <w:jc w:val="both"/>
      </w:pPr>
      <w:r>
        <w:rPr>
          <w:szCs w:val="24"/>
        </w:rPr>
        <w:t xml:space="preserve">В серверном помещении не должно проходить никаких магистралей и ответвлений инженерных систем, включая канализацию, холодное и горячее водоснабжение, газоснабжения, общую вентиляцию и кондиционирование, распределительную сеть электропитания и освещение, другие слаботочные системы, за исключением систем, располагаемых в серверной. </w:t>
      </w:r>
      <w:r>
        <w:t>Трассы обычного и пожарного водоснабжения, отопления и канализации, которые проходят непосредственно над помещением, должны быть обеспечены надежной гидроизоляцией с аварийным стоком воды.</w:t>
      </w:r>
    </w:p>
    <w:p>
      <w:pPr>
        <w:jc w:val="both"/>
        <w:rPr>
          <w:szCs w:val="24"/>
        </w:rPr>
      </w:pPr>
    </w:p>
    <w:p>
      <w:pPr>
        <w:jc w:val="both"/>
        <w:rPr>
          <w:szCs w:val="24"/>
        </w:rPr>
      </w:pPr>
      <w:r>
        <w:rPr>
          <w:szCs w:val="24"/>
        </w:rPr>
        <w:t>7.1.5. Правила противопожарной безопасности</w:t>
      </w:r>
    </w:p>
    <w:p>
      <w:pPr>
        <w:jc w:val="both"/>
        <w:rPr>
          <w:szCs w:val="24"/>
        </w:rPr>
      </w:pPr>
    </w:p>
    <w:p>
      <w:pPr>
        <w:jc w:val="both"/>
        <w:rPr>
          <w:szCs w:val="24"/>
        </w:rPr>
      </w:pPr>
      <w:r>
        <w:rPr>
          <w:szCs w:val="24"/>
        </w:rPr>
        <w:t>После прокладки всех коммуникаций кабельные вводы в серверное помещение необходимо заделать огнеупорным материалом. Для этих целей необходимо использовать специальные заглушки, устанавливаемые в кабельном вводе, которые в случае возникновения пожара расширяются, перекрывают пространство и не позволяют распространяться огню и дыму.</w:t>
      </w:r>
    </w:p>
    <w:p>
      <w:pPr>
        <w:jc w:val="both"/>
        <w:rPr>
          <w:szCs w:val="24"/>
        </w:rPr>
      </w:pPr>
    </w:p>
    <w:p>
      <w:pPr>
        <w:jc w:val="both"/>
        <w:rPr>
          <w:szCs w:val="24"/>
        </w:rPr>
      </w:pPr>
      <w:r>
        <w:rPr>
          <w:szCs w:val="24"/>
        </w:rPr>
        <w:t>Потолочные перекрытия, стены и перегородки серверного помещения должны быть несгораемыми и обеспечивать огнестойкость не менее 45 минут.</w:t>
      </w:r>
    </w:p>
    <w:p>
      <w:pPr>
        <w:jc w:val="both"/>
        <w:rPr>
          <w:szCs w:val="24"/>
        </w:rPr>
      </w:pPr>
    </w:p>
    <w:p>
      <w:pPr>
        <w:jc w:val="both"/>
        <w:rPr>
          <w:szCs w:val="24"/>
        </w:rPr>
      </w:pPr>
      <w:r>
        <w:rPr>
          <w:szCs w:val="24"/>
        </w:rPr>
        <w:t>Дверь должна обеспечивать огнестойкость не менее 36 минут. Дверь должна быть из негорючего материала толщиной не менее 40 мм без внутренних пустот. Можно использовать деревянную дверь, покрытую слоем асбеста или листовой сталью толщиной не менее 4 мм с двух сторон.</w:t>
      </w:r>
    </w:p>
    <w:p>
      <w:pPr>
        <w:jc w:val="both"/>
        <w:rPr>
          <w:szCs w:val="24"/>
        </w:rPr>
      </w:pPr>
    </w:p>
    <w:p>
      <w:pPr>
        <w:jc w:val="both"/>
        <w:rPr>
          <w:szCs w:val="24"/>
        </w:rPr>
      </w:pPr>
      <w:r>
        <w:t xml:space="preserve">В </w:t>
      </w:r>
      <w:r>
        <w:rPr>
          <w:szCs w:val="24"/>
        </w:rPr>
        <w:t>серверном помещении для удаления дыма должны оборудоваться вытяжные шахты с ручным или автоматическим открыванием. Площадь шахт должна быть не менее 0,2 % от площади помещения и расстояние из любой точки помещения до шахты должно быть не более 20 метров.</w:t>
      </w:r>
    </w:p>
    <w:p>
      <w:pPr>
        <w:jc w:val="both"/>
        <w:rPr>
          <w:szCs w:val="24"/>
        </w:rPr>
      </w:pPr>
    </w:p>
    <w:p>
      <w:pPr>
        <w:jc w:val="both"/>
        <w:rPr>
          <w:szCs w:val="24"/>
        </w:rPr>
      </w:pPr>
      <w:r>
        <w:rPr>
          <w:szCs w:val="24"/>
        </w:rPr>
        <w:t>Если в серверном помещении устанавливаются спринклеры, то головки спринклеров рекомендуется закрывать защитными сетчатыми колпачками, чтобы избежать случайного срабатывания спринклеров.</w:t>
      </w:r>
    </w:p>
    <w:p>
      <w:pPr>
        <w:jc w:val="both"/>
        <w:rPr>
          <w:szCs w:val="24"/>
        </w:rPr>
      </w:pPr>
    </w:p>
    <w:p>
      <w:pPr>
        <w:jc w:val="both"/>
        <w:rPr>
          <w:szCs w:val="24"/>
        </w:rPr>
      </w:pPr>
      <w:r>
        <w:rPr>
          <w:szCs w:val="24"/>
        </w:rPr>
        <w:t>Опоры и стойки фальшполов должны быть выполнены из несгораемого материала.</w:t>
      </w:r>
    </w:p>
    <w:p>
      <w:pPr>
        <w:jc w:val="both"/>
        <w:rPr>
          <w:szCs w:val="24"/>
        </w:rPr>
      </w:pPr>
    </w:p>
    <w:p>
      <w:pPr>
        <w:jc w:val="both"/>
        <w:rPr>
          <w:szCs w:val="24"/>
        </w:rPr>
      </w:pPr>
      <w:r>
        <w:rPr>
          <w:szCs w:val="24"/>
        </w:rPr>
        <w:lastRenderedPageBreak/>
        <w:t>Плиты фальшполов должны быть из несгораемого материала или материала с пределом огнестойкости 30 минут. Верхнее покрытие плит фальшпола может быть выполнено из сгораемого материала.</w:t>
      </w:r>
    </w:p>
    <w:p>
      <w:pPr>
        <w:jc w:val="both"/>
        <w:rPr>
          <w:szCs w:val="24"/>
        </w:rPr>
      </w:pPr>
    </w:p>
    <w:p>
      <w:pPr>
        <w:jc w:val="both"/>
        <w:rPr>
          <w:bCs/>
          <w:szCs w:val="24"/>
          <w:lang w:eastAsia="ru-RU"/>
        </w:rPr>
      </w:pPr>
      <w:bookmarkStart w:id="99" w:name="_Toc142735128"/>
      <w:r>
        <w:rPr>
          <w:bCs/>
          <w:szCs w:val="24"/>
          <w:lang w:eastAsia="ru-RU"/>
        </w:rPr>
        <w:t xml:space="preserve">7.2 Типовой состав </w:t>
      </w:r>
      <w:bookmarkEnd w:id="99"/>
      <w:r>
        <w:rPr>
          <w:bCs/>
          <w:szCs w:val="24"/>
          <w:lang w:eastAsia="ru-RU"/>
        </w:rPr>
        <w:t>инженерных систем технологических помещений</w:t>
      </w:r>
    </w:p>
    <w:p>
      <w:pPr>
        <w:jc w:val="both"/>
        <w:rPr>
          <w:bCs/>
          <w:szCs w:val="24"/>
          <w:lang w:eastAsia="ru-RU"/>
        </w:rPr>
      </w:pPr>
    </w:p>
    <w:p>
      <w:pPr>
        <w:jc w:val="both"/>
        <w:rPr>
          <w:bCs/>
          <w:szCs w:val="24"/>
          <w:lang w:eastAsia="ru-RU"/>
        </w:rPr>
      </w:pPr>
      <w:r>
        <w:rPr>
          <w:bCs/>
          <w:szCs w:val="24"/>
          <w:lang w:eastAsia="ru-RU"/>
        </w:rPr>
        <w:t>В технологических помещениях должны быть установлены:</w:t>
      </w:r>
    </w:p>
    <w:p>
      <w:pPr>
        <w:numPr>
          <w:ilvl w:val="0"/>
          <w:numId w:val="2"/>
        </w:numPr>
        <w:tabs>
          <w:tab w:val="num" w:pos="540"/>
        </w:tabs>
        <w:spacing w:before="120"/>
        <w:ind w:left="538" w:hanging="357"/>
        <w:jc w:val="both"/>
        <w:rPr>
          <w:szCs w:val="24"/>
        </w:rPr>
      </w:pPr>
      <w:r>
        <w:rPr>
          <w:szCs w:val="24"/>
        </w:rPr>
        <w:t>СЭ, включающая в себя:</w:t>
      </w:r>
    </w:p>
    <w:p>
      <w:pPr>
        <w:numPr>
          <w:ilvl w:val="1"/>
          <w:numId w:val="17"/>
        </w:numPr>
        <w:spacing w:before="120"/>
        <w:ind w:left="896" w:hanging="357"/>
        <w:jc w:val="both"/>
        <w:rPr>
          <w:szCs w:val="24"/>
        </w:rPr>
      </w:pPr>
      <w:r>
        <w:rPr>
          <w:szCs w:val="24"/>
        </w:rPr>
        <w:t>ПГЭ;</w:t>
      </w:r>
    </w:p>
    <w:p>
      <w:pPr>
        <w:numPr>
          <w:ilvl w:val="1"/>
          <w:numId w:val="17"/>
        </w:numPr>
        <w:spacing w:before="120"/>
        <w:ind w:left="896" w:hanging="357"/>
        <w:jc w:val="both"/>
        <w:rPr>
          <w:szCs w:val="24"/>
        </w:rPr>
      </w:pPr>
      <w:r>
        <w:rPr>
          <w:szCs w:val="24"/>
        </w:rPr>
        <w:t>ПБЭ;</w:t>
      </w:r>
    </w:p>
    <w:p>
      <w:pPr>
        <w:numPr>
          <w:ilvl w:val="1"/>
          <w:numId w:val="17"/>
        </w:numPr>
        <w:spacing w:before="120"/>
        <w:ind w:left="896" w:hanging="357"/>
        <w:jc w:val="both"/>
        <w:rPr>
          <w:szCs w:val="24"/>
        </w:rPr>
      </w:pPr>
      <w:r>
        <w:rPr>
          <w:szCs w:val="24"/>
        </w:rPr>
        <w:t>ПРЭ;</w:t>
      </w:r>
    </w:p>
    <w:p>
      <w:pPr>
        <w:numPr>
          <w:ilvl w:val="1"/>
          <w:numId w:val="17"/>
        </w:numPr>
        <w:spacing w:before="120"/>
        <w:ind w:left="896" w:hanging="357"/>
        <w:jc w:val="both"/>
        <w:rPr>
          <w:szCs w:val="24"/>
        </w:rPr>
      </w:pPr>
      <w:r>
        <w:rPr>
          <w:szCs w:val="24"/>
        </w:rPr>
        <w:t>ПТЗ;</w:t>
      </w:r>
    </w:p>
    <w:p>
      <w:pPr>
        <w:numPr>
          <w:ilvl w:val="1"/>
          <w:numId w:val="17"/>
        </w:numPr>
        <w:spacing w:before="120"/>
        <w:ind w:left="896" w:hanging="357"/>
        <w:jc w:val="both"/>
        <w:rPr>
          <w:szCs w:val="24"/>
        </w:rPr>
      </w:pPr>
      <w:r>
        <w:rPr>
          <w:szCs w:val="24"/>
        </w:rPr>
        <w:t>ПЭО</w:t>
      </w:r>
      <w:r>
        <w:rPr>
          <w:strike/>
          <w:szCs w:val="24"/>
        </w:rPr>
        <w:t>.</w:t>
      </w:r>
    </w:p>
    <w:p>
      <w:pPr>
        <w:numPr>
          <w:ilvl w:val="0"/>
          <w:numId w:val="2"/>
        </w:numPr>
        <w:tabs>
          <w:tab w:val="num" w:pos="540"/>
        </w:tabs>
        <w:spacing w:before="120"/>
        <w:ind w:left="538" w:hanging="357"/>
        <w:jc w:val="both"/>
        <w:rPr>
          <w:szCs w:val="24"/>
        </w:rPr>
      </w:pPr>
      <w:r>
        <w:rPr>
          <w:szCs w:val="24"/>
        </w:rPr>
        <w:t>Система обеспечения микроклимата, включающая в себя:</w:t>
      </w:r>
    </w:p>
    <w:p>
      <w:pPr>
        <w:numPr>
          <w:ilvl w:val="1"/>
          <w:numId w:val="17"/>
        </w:numPr>
        <w:spacing w:before="120"/>
        <w:ind w:left="896" w:hanging="357"/>
        <w:jc w:val="both"/>
        <w:rPr>
          <w:szCs w:val="24"/>
        </w:rPr>
      </w:pPr>
      <w:r>
        <w:rPr>
          <w:szCs w:val="24"/>
        </w:rPr>
        <w:t>подсистему кондиционирования и вентиляции;</w:t>
      </w:r>
    </w:p>
    <w:p>
      <w:pPr>
        <w:numPr>
          <w:ilvl w:val="1"/>
          <w:numId w:val="17"/>
        </w:numPr>
        <w:spacing w:before="120"/>
        <w:ind w:left="896" w:hanging="357"/>
        <w:jc w:val="both"/>
        <w:rPr>
          <w:szCs w:val="24"/>
        </w:rPr>
      </w:pPr>
      <w:r>
        <w:rPr>
          <w:szCs w:val="24"/>
        </w:rPr>
        <w:t>СММ.</w:t>
      </w:r>
    </w:p>
    <w:p>
      <w:pPr>
        <w:numPr>
          <w:ilvl w:val="0"/>
          <w:numId w:val="2"/>
        </w:numPr>
        <w:tabs>
          <w:tab w:val="num" w:pos="540"/>
        </w:tabs>
        <w:spacing w:before="120"/>
        <w:ind w:left="538" w:hanging="357"/>
        <w:jc w:val="both"/>
        <w:rPr>
          <w:szCs w:val="24"/>
        </w:rPr>
      </w:pPr>
      <w:r>
        <w:rPr>
          <w:szCs w:val="24"/>
        </w:rPr>
        <w:t>Система организации оборудования и кабельного хозяйства, включающая в себя:</w:t>
      </w:r>
    </w:p>
    <w:p>
      <w:pPr>
        <w:numPr>
          <w:ilvl w:val="1"/>
          <w:numId w:val="17"/>
        </w:numPr>
        <w:spacing w:before="120"/>
        <w:ind w:left="896" w:hanging="357"/>
        <w:jc w:val="both"/>
        <w:rPr>
          <w:szCs w:val="24"/>
        </w:rPr>
      </w:pPr>
      <w:r>
        <w:rPr>
          <w:szCs w:val="24"/>
        </w:rPr>
        <w:t>ПФФ;</w:t>
      </w:r>
    </w:p>
    <w:p>
      <w:pPr>
        <w:numPr>
          <w:ilvl w:val="1"/>
          <w:numId w:val="17"/>
        </w:numPr>
        <w:spacing w:before="120"/>
        <w:ind w:left="896" w:hanging="357"/>
        <w:jc w:val="both"/>
        <w:rPr>
          <w:szCs w:val="24"/>
        </w:rPr>
      </w:pPr>
      <w:r>
        <w:rPr>
          <w:szCs w:val="24"/>
        </w:rPr>
        <w:t>ПШС;</w:t>
      </w:r>
    </w:p>
    <w:p>
      <w:pPr>
        <w:numPr>
          <w:ilvl w:val="1"/>
          <w:numId w:val="17"/>
        </w:numPr>
        <w:spacing w:before="120"/>
        <w:ind w:left="896" w:hanging="357"/>
        <w:jc w:val="both"/>
        <w:rPr>
          <w:szCs w:val="24"/>
        </w:rPr>
      </w:pPr>
      <w:r>
        <w:rPr>
          <w:szCs w:val="24"/>
        </w:rPr>
        <w:t>ПОК.</w:t>
      </w:r>
    </w:p>
    <w:p>
      <w:pPr>
        <w:numPr>
          <w:ilvl w:val="0"/>
          <w:numId w:val="2"/>
        </w:numPr>
        <w:tabs>
          <w:tab w:val="num" w:pos="540"/>
        </w:tabs>
        <w:spacing w:before="120"/>
        <w:ind w:left="538" w:hanging="357"/>
        <w:jc w:val="both"/>
        <w:rPr>
          <w:szCs w:val="24"/>
        </w:rPr>
      </w:pPr>
      <w:r>
        <w:rPr>
          <w:szCs w:val="24"/>
        </w:rPr>
        <w:t>Система безопасности, включающая в себя:</w:t>
      </w:r>
    </w:p>
    <w:p>
      <w:pPr>
        <w:numPr>
          <w:ilvl w:val="1"/>
          <w:numId w:val="17"/>
        </w:numPr>
        <w:spacing w:before="120"/>
        <w:ind w:left="896" w:hanging="357"/>
        <w:jc w:val="both"/>
        <w:rPr>
          <w:szCs w:val="24"/>
        </w:rPr>
      </w:pPr>
      <w:r>
        <w:rPr>
          <w:szCs w:val="24"/>
        </w:rPr>
        <w:t>подсистему контроля управления доступом;</w:t>
      </w:r>
    </w:p>
    <w:p>
      <w:pPr>
        <w:numPr>
          <w:ilvl w:val="1"/>
          <w:numId w:val="17"/>
        </w:numPr>
        <w:spacing w:before="120"/>
        <w:ind w:left="896" w:hanging="357"/>
        <w:jc w:val="both"/>
        <w:rPr>
          <w:szCs w:val="24"/>
        </w:rPr>
      </w:pPr>
      <w:r>
        <w:rPr>
          <w:szCs w:val="24"/>
        </w:rPr>
        <w:t>СОС;</w:t>
      </w:r>
    </w:p>
    <w:p>
      <w:pPr>
        <w:numPr>
          <w:ilvl w:val="1"/>
          <w:numId w:val="17"/>
        </w:numPr>
        <w:spacing w:before="120"/>
        <w:ind w:left="896" w:hanging="357"/>
        <w:jc w:val="both"/>
        <w:rPr>
          <w:szCs w:val="24"/>
        </w:rPr>
      </w:pPr>
      <w:r>
        <w:rPr>
          <w:szCs w:val="24"/>
        </w:rPr>
        <w:t>подсистему охранную телевизионную;</w:t>
      </w:r>
    </w:p>
    <w:p>
      <w:pPr>
        <w:numPr>
          <w:ilvl w:val="1"/>
          <w:numId w:val="17"/>
        </w:numPr>
        <w:spacing w:before="120"/>
        <w:ind w:left="896" w:hanging="357"/>
        <w:jc w:val="both"/>
        <w:rPr>
          <w:szCs w:val="24"/>
        </w:rPr>
      </w:pPr>
      <w:r>
        <w:rPr>
          <w:szCs w:val="24"/>
        </w:rPr>
        <w:t>ППС;</w:t>
      </w:r>
    </w:p>
    <w:p>
      <w:pPr>
        <w:numPr>
          <w:ilvl w:val="1"/>
          <w:numId w:val="17"/>
        </w:numPr>
        <w:spacing w:before="120"/>
        <w:ind w:left="896" w:hanging="357"/>
        <w:jc w:val="both"/>
        <w:rPr>
          <w:szCs w:val="24"/>
        </w:rPr>
      </w:pPr>
      <w:r>
        <w:rPr>
          <w:szCs w:val="24"/>
        </w:rPr>
        <w:t>ПГП;</w:t>
      </w:r>
    </w:p>
    <w:p>
      <w:pPr>
        <w:numPr>
          <w:ilvl w:val="1"/>
          <w:numId w:val="17"/>
        </w:numPr>
        <w:spacing w:before="120"/>
        <w:ind w:left="896" w:hanging="357"/>
        <w:jc w:val="both"/>
        <w:rPr>
          <w:szCs w:val="24"/>
        </w:rPr>
      </w:pPr>
      <w:r>
        <w:rPr>
          <w:szCs w:val="24"/>
        </w:rPr>
        <w:t>ПГУ.</w:t>
      </w:r>
    </w:p>
    <w:p>
      <w:pPr>
        <w:pStyle w:val="S4"/>
        <w:widowControl/>
      </w:pPr>
    </w:p>
    <w:p>
      <w:pPr>
        <w:jc w:val="both"/>
        <w:rPr>
          <w:bCs/>
          <w:szCs w:val="24"/>
          <w:lang w:eastAsia="ru-RU"/>
        </w:rPr>
      </w:pPr>
      <w:bookmarkStart w:id="100" w:name="_Toc142735129"/>
      <w:r>
        <w:rPr>
          <w:bCs/>
          <w:szCs w:val="24"/>
          <w:lang w:eastAsia="ru-RU"/>
        </w:rPr>
        <w:t>7.2.1. </w:t>
      </w:r>
      <w:bookmarkEnd w:id="100"/>
      <w:r>
        <w:rPr>
          <w:bCs/>
          <w:szCs w:val="24"/>
          <w:lang w:eastAsia="ru-RU"/>
        </w:rPr>
        <w:t>СЭ</w:t>
      </w:r>
    </w:p>
    <w:p>
      <w:pPr>
        <w:jc w:val="both"/>
        <w:rPr>
          <w:bCs/>
          <w:szCs w:val="24"/>
          <w:lang w:eastAsia="ru-RU"/>
        </w:rPr>
      </w:pPr>
    </w:p>
    <w:p>
      <w:pPr>
        <w:jc w:val="both"/>
        <w:rPr>
          <w:bCs/>
          <w:szCs w:val="24"/>
          <w:lang w:eastAsia="ru-RU"/>
        </w:rPr>
      </w:pPr>
      <w:r>
        <w:rPr>
          <w:bCs/>
          <w:szCs w:val="24"/>
          <w:lang w:eastAsia="ru-RU"/>
        </w:rPr>
        <w:t xml:space="preserve">Любое помещение инфраструктуры связи должно иметь разработанную схему электропитания. Электропитание </w:t>
      </w:r>
      <w:r>
        <w:t>оборудования инфраструктуры связи необходимо обеспечивать электроэнергией от двух независимых взаимно резервирующих источников (основной источник и резервный источник электропитания).</w:t>
      </w:r>
      <w:r>
        <w:rPr>
          <w:bCs/>
          <w:szCs w:val="24"/>
          <w:lang w:eastAsia="ru-RU"/>
        </w:rPr>
        <w:t xml:space="preserve"> </w:t>
      </w:r>
      <w:r>
        <w:t xml:space="preserve">Электропитание осуществляется от источника питания напряжением 380 / 220 В. </w:t>
      </w:r>
      <w:r>
        <w:rPr>
          <w:bCs/>
          <w:szCs w:val="24"/>
          <w:lang w:eastAsia="ru-RU"/>
        </w:rPr>
        <w:t>Напряжение питания оборудования, устанавливаемого в телекоммуникационных шкафах – 220 В. Необходимо обеспечить контроль потребляемого тока в отдельных телекоммуникационных шкафах.</w:t>
      </w:r>
    </w:p>
    <w:p>
      <w:pPr>
        <w:jc w:val="both"/>
        <w:rPr>
          <w:bCs/>
          <w:szCs w:val="24"/>
          <w:lang w:eastAsia="ru-RU"/>
        </w:rPr>
      </w:pPr>
    </w:p>
    <w:p>
      <w:pPr>
        <w:jc w:val="both"/>
        <w:rPr>
          <w:bCs/>
          <w:szCs w:val="24"/>
          <w:lang w:eastAsia="ru-RU"/>
        </w:rPr>
      </w:pPr>
      <w:r>
        <w:rPr>
          <w:bCs/>
          <w:szCs w:val="24"/>
          <w:lang w:eastAsia="ru-RU"/>
        </w:rPr>
        <w:t xml:space="preserve">Расчет электрических нагрузок электроприемников в помещениях инфраструктуры связи следует производить с учетом коэффициентов, которые приведены в таблице 3 </w:t>
      </w:r>
      <w:r>
        <w:t>СН 512</w:t>
      </w:r>
      <w:r>
        <w:rPr>
          <w:bCs/>
          <w:szCs w:val="24"/>
          <w:lang w:eastAsia="ru-RU"/>
        </w:rPr>
        <w:t>.</w:t>
      </w:r>
    </w:p>
    <w:p>
      <w:pPr>
        <w:jc w:val="both"/>
        <w:rPr>
          <w:bCs/>
          <w:szCs w:val="24"/>
          <w:lang w:eastAsia="ru-RU"/>
        </w:rPr>
      </w:pPr>
    </w:p>
    <w:p>
      <w:pPr>
        <w:jc w:val="both"/>
        <w:rPr>
          <w:bCs/>
          <w:szCs w:val="24"/>
          <w:lang w:eastAsia="ru-RU"/>
        </w:rPr>
      </w:pPr>
      <w:r>
        <w:rPr>
          <w:bCs/>
          <w:szCs w:val="24"/>
          <w:lang w:eastAsia="ru-RU"/>
        </w:rPr>
        <w:lastRenderedPageBreak/>
        <w:t>Сеть, обеспечивающая электропитание оборудования, а также электрические розетки для подключения оборудования не должны присоединяться к шинам щитов и шкафов, от которых питается средства связи.</w:t>
      </w:r>
    </w:p>
    <w:p>
      <w:pPr>
        <w:jc w:val="both"/>
        <w:rPr>
          <w:bCs/>
          <w:szCs w:val="24"/>
          <w:lang w:eastAsia="ru-RU"/>
        </w:rPr>
      </w:pPr>
    </w:p>
    <w:p>
      <w:pPr>
        <w:jc w:val="both"/>
        <w:rPr>
          <w:bCs/>
          <w:szCs w:val="24"/>
          <w:lang w:eastAsia="ru-RU"/>
        </w:rPr>
      </w:pPr>
      <w:r>
        <w:rPr>
          <w:bCs/>
          <w:szCs w:val="24"/>
          <w:lang w:eastAsia="ru-RU"/>
        </w:rPr>
        <w:t xml:space="preserve">При проектировании электроснабжения зданий и помещений необходимо предусматривать мероприятия и устройства, обеспечивающие качество электроэнергии по </w:t>
      </w:r>
      <w:r>
        <w:t>ГОСТ 32144</w:t>
      </w:r>
      <w:r>
        <w:rPr>
          <w:bCs/>
          <w:szCs w:val="24"/>
          <w:lang w:eastAsia="ru-RU"/>
        </w:rPr>
        <w:t xml:space="preserve"> и учитывать требования к качеству электроэнергии, указанные в технической документации на поставляемое телекоммуникационное и серверное оборудование.</w:t>
      </w:r>
    </w:p>
    <w:p>
      <w:pPr>
        <w:jc w:val="both"/>
        <w:rPr>
          <w:bCs/>
          <w:szCs w:val="24"/>
          <w:lang w:eastAsia="ru-RU"/>
        </w:rPr>
      </w:pPr>
    </w:p>
    <w:p>
      <w:pPr>
        <w:jc w:val="both"/>
        <w:rPr>
          <w:bCs/>
          <w:szCs w:val="24"/>
          <w:lang w:eastAsia="ru-RU"/>
        </w:rPr>
      </w:pPr>
      <w:r>
        <w:rPr>
          <w:bCs/>
          <w:szCs w:val="24"/>
          <w:lang w:eastAsia="ru-RU"/>
        </w:rPr>
        <w:t>Сеть электроснабжения серверного помещения напряжением 380/220 В от электрической подстанции до вводного щита управления следует выполнять кабелями, проводами в коробах или в скрыто проложенных винипластовых трубах. Через серверное помещение не должны прокладываться кабели, не относящиеся к данному помещению.</w:t>
      </w:r>
    </w:p>
    <w:p>
      <w:pPr>
        <w:jc w:val="both"/>
        <w:rPr>
          <w:bCs/>
          <w:szCs w:val="24"/>
          <w:lang w:eastAsia="ru-RU"/>
        </w:rPr>
      </w:pPr>
    </w:p>
    <w:p>
      <w:pPr>
        <w:jc w:val="both"/>
        <w:rPr>
          <w:bCs/>
          <w:szCs w:val="24"/>
          <w:lang w:eastAsia="ru-RU"/>
        </w:rPr>
      </w:pPr>
      <w:r>
        <w:rPr>
          <w:bCs/>
          <w:szCs w:val="24"/>
          <w:lang w:eastAsia="ru-RU"/>
        </w:rPr>
        <w:t>В серверном помещении не должны применяться провода и кабели с изоляцией из вулканизированной резины или других серосодержащих материалов.</w:t>
      </w:r>
    </w:p>
    <w:p>
      <w:pPr>
        <w:jc w:val="both"/>
        <w:rPr>
          <w:bCs/>
          <w:szCs w:val="24"/>
          <w:lang w:eastAsia="ru-RU"/>
        </w:rPr>
      </w:pPr>
    </w:p>
    <w:p>
      <w:pPr>
        <w:jc w:val="both"/>
      </w:pPr>
      <w:r>
        <w:t>При необходимости для СЭ выделяется отдельное помещение электроснабжения, обеспечивающее электропитанием оборудование серверных помещений. Инженерная инфраструктура такого помещения состоит из подсистем, аналогичных подсистемам для серверных помещений.</w:t>
      </w:r>
    </w:p>
    <w:p>
      <w:pPr>
        <w:jc w:val="both"/>
      </w:pPr>
    </w:p>
    <w:p>
      <w:pPr>
        <w:jc w:val="both"/>
      </w:pPr>
      <w:r>
        <w:t xml:space="preserve">Информация о состоянии СЭ, о качестве внешнего электроснабжения и диагностические сообщения должны быть доступны для мониторинга </w:t>
      </w:r>
      <w:r>
        <w:rPr>
          <w:bCs/>
          <w:szCs w:val="24"/>
          <w:lang w:eastAsia="ru-RU"/>
        </w:rPr>
        <w:t>(с использованием протоколов HTTP, SNMP)</w:t>
      </w:r>
      <w:r>
        <w:t>.</w:t>
      </w:r>
    </w:p>
    <w:p>
      <w:pPr>
        <w:jc w:val="both"/>
      </w:pPr>
    </w:p>
    <w:p>
      <w:pPr>
        <w:numPr>
          <w:ilvl w:val="0"/>
          <w:numId w:val="2"/>
        </w:numPr>
        <w:tabs>
          <w:tab w:val="num" w:pos="540"/>
        </w:tabs>
        <w:spacing w:before="120"/>
        <w:ind w:left="538" w:hanging="357"/>
        <w:jc w:val="both"/>
        <w:rPr>
          <w:szCs w:val="24"/>
        </w:rPr>
      </w:pPr>
      <w:r>
        <w:rPr>
          <w:szCs w:val="24"/>
        </w:rPr>
        <w:t>ПГЭ</w:t>
      </w:r>
    </w:p>
    <w:p>
      <w:pPr>
        <w:pStyle w:val="S4"/>
        <w:widowControl/>
      </w:pPr>
    </w:p>
    <w:p>
      <w:pPr>
        <w:ind w:left="567"/>
        <w:jc w:val="both"/>
      </w:pPr>
      <w:r>
        <w:rPr>
          <w:bCs/>
          <w:szCs w:val="24"/>
          <w:lang w:eastAsia="ru-RU"/>
        </w:rPr>
        <w:t xml:space="preserve">ПГЭ предусматривает наличие двух вводов электропитания от разных электрических подстанций или от ДГУ. ДГУ также должен </w:t>
      </w:r>
      <w:r>
        <w:t>обеспечивать электроснабжение технологического и инженерного оборудования серверных помещений при долговременном пропадании электропитания.</w:t>
      </w:r>
    </w:p>
    <w:p>
      <w:pPr>
        <w:ind w:left="567"/>
        <w:jc w:val="both"/>
        <w:rPr>
          <w:bCs/>
          <w:szCs w:val="24"/>
          <w:lang w:eastAsia="ru-RU"/>
        </w:rPr>
      </w:pPr>
    </w:p>
    <w:p>
      <w:pPr>
        <w:ind w:left="567"/>
        <w:jc w:val="both"/>
        <w:rPr>
          <w:bCs/>
          <w:szCs w:val="24"/>
          <w:lang w:eastAsia="ru-RU"/>
        </w:rPr>
      </w:pPr>
      <w:r>
        <w:rPr>
          <w:bCs/>
          <w:szCs w:val="24"/>
          <w:lang w:eastAsia="ru-RU"/>
        </w:rPr>
        <w:t>Все источники электроэнергии подаются на АВР, осуществляющий автоматическое переключение фидеров при пропадании электропитания на основном (резервном) фидере.</w:t>
      </w:r>
    </w:p>
    <w:p>
      <w:pPr>
        <w:ind w:left="567"/>
        <w:jc w:val="both"/>
        <w:rPr>
          <w:bCs/>
          <w:szCs w:val="24"/>
          <w:lang w:eastAsia="ru-RU"/>
        </w:rPr>
      </w:pPr>
    </w:p>
    <w:p>
      <w:pPr>
        <w:ind w:left="567"/>
        <w:jc w:val="both"/>
        <w:rPr>
          <w:bCs/>
          <w:szCs w:val="24"/>
          <w:lang w:eastAsia="ru-RU"/>
        </w:rPr>
      </w:pPr>
      <w:r>
        <w:rPr>
          <w:bCs/>
          <w:szCs w:val="24"/>
          <w:lang w:eastAsia="ru-RU"/>
        </w:rPr>
        <w:t>Параметры линий электропитания, ДГУ и АВР определяются суммарной потребляемой мощностью оборудования и подсистем серверного помещения.</w:t>
      </w:r>
    </w:p>
    <w:p>
      <w:pPr>
        <w:ind w:left="567"/>
        <w:jc w:val="both"/>
        <w:rPr>
          <w:bCs/>
          <w:szCs w:val="24"/>
          <w:lang w:eastAsia="ru-RU"/>
        </w:rPr>
      </w:pPr>
    </w:p>
    <w:p>
      <w:pPr>
        <w:ind w:left="567"/>
        <w:jc w:val="both"/>
        <w:rPr>
          <w:bCs/>
          <w:szCs w:val="24"/>
          <w:lang w:eastAsia="ru-RU"/>
        </w:rPr>
      </w:pPr>
      <w:r>
        <w:rPr>
          <w:bCs/>
          <w:szCs w:val="24"/>
          <w:lang w:eastAsia="ru-RU"/>
        </w:rPr>
        <w:t>Линии внешнего электропитания должны быть выполнены по пятипроводной схеме с жилами неравного сечения в соответствии с требованиями раздела 1 ПУЭ.</w:t>
      </w:r>
    </w:p>
    <w:p>
      <w:pPr>
        <w:numPr>
          <w:ilvl w:val="0"/>
          <w:numId w:val="2"/>
        </w:numPr>
        <w:tabs>
          <w:tab w:val="num" w:pos="540"/>
        </w:tabs>
        <w:spacing w:before="120"/>
        <w:ind w:left="538" w:hanging="357"/>
        <w:jc w:val="both"/>
        <w:rPr>
          <w:szCs w:val="24"/>
        </w:rPr>
      </w:pPr>
      <w:r>
        <w:rPr>
          <w:szCs w:val="24"/>
        </w:rPr>
        <w:t>ПБЭ</w:t>
      </w:r>
    </w:p>
    <w:p>
      <w:pPr>
        <w:pStyle w:val="S4"/>
        <w:widowControl/>
      </w:pPr>
    </w:p>
    <w:p>
      <w:pPr>
        <w:ind w:left="567"/>
        <w:jc w:val="both"/>
        <w:rPr>
          <w:bCs/>
          <w:szCs w:val="24"/>
          <w:lang w:eastAsia="ru-RU"/>
        </w:rPr>
      </w:pPr>
      <w:r>
        <w:rPr>
          <w:bCs/>
          <w:szCs w:val="24"/>
          <w:lang w:eastAsia="ru-RU"/>
        </w:rPr>
        <w:t>ПБЭ предусматривает обеспечение электроснабжением оборудования и систем серверного помещения через ИБП.</w:t>
      </w:r>
    </w:p>
    <w:p>
      <w:pPr>
        <w:ind w:left="567"/>
        <w:jc w:val="both"/>
        <w:rPr>
          <w:bCs/>
          <w:szCs w:val="24"/>
          <w:lang w:eastAsia="ru-RU"/>
        </w:rPr>
      </w:pPr>
    </w:p>
    <w:p>
      <w:pPr>
        <w:ind w:left="567"/>
        <w:jc w:val="both"/>
      </w:pPr>
      <w:r>
        <w:rPr>
          <w:bCs/>
          <w:szCs w:val="24"/>
          <w:lang w:eastAsia="ru-RU"/>
        </w:rPr>
        <w:t>Мощность и конфигурация ИБП рассчитывается с учетом всего обеспечиваемого электропитанием оборудования и запаса для развития. ИБП</w:t>
      </w:r>
      <w:r>
        <w:t xml:space="preserve"> в серверных помещениях должны быть, в основном, статическими (с аккумуляторными батареями).</w:t>
      </w:r>
    </w:p>
    <w:p>
      <w:pPr>
        <w:ind w:left="567"/>
        <w:jc w:val="both"/>
        <w:rPr>
          <w:bCs/>
          <w:szCs w:val="24"/>
          <w:lang w:eastAsia="ru-RU"/>
        </w:rPr>
      </w:pPr>
      <w:r>
        <w:rPr>
          <w:bCs/>
          <w:szCs w:val="24"/>
          <w:lang w:eastAsia="ru-RU"/>
        </w:rPr>
        <w:lastRenderedPageBreak/>
        <w:t>Время автономной работы от ИБП рассчитывается с учетом потребностей, а так же с учетом необходимого времени для перехода на резервные линии, ДГУ и обратно.</w:t>
      </w:r>
    </w:p>
    <w:p>
      <w:pPr>
        <w:ind w:left="567"/>
        <w:jc w:val="both"/>
        <w:rPr>
          <w:bCs/>
          <w:szCs w:val="24"/>
          <w:lang w:eastAsia="ru-RU"/>
        </w:rPr>
      </w:pPr>
    </w:p>
    <w:p>
      <w:pPr>
        <w:ind w:left="567"/>
        <w:jc w:val="both"/>
        <w:rPr>
          <w:bCs/>
          <w:szCs w:val="24"/>
          <w:lang w:eastAsia="ru-RU"/>
        </w:rPr>
      </w:pPr>
      <w:r>
        <w:rPr>
          <w:bCs/>
          <w:szCs w:val="24"/>
          <w:lang w:eastAsia="ru-RU"/>
        </w:rPr>
        <w:t>ИБП серверного помещения должен иметь 100 % резерв в виде второго аналогичного ИБП.</w:t>
      </w:r>
    </w:p>
    <w:p>
      <w:pPr>
        <w:ind w:left="567"/>
        <w:jc w:val="both"/>
        <w:rPr>
          <w:bCs/>
          <w:szCs w:val="24"/>
          <w:lang w:eastAsia="ru-RU"/>
        </w:rPr>
      </w:pPr>
    </w:p>
    <w:p>
      <w:pPr>
        <w:ind w:left="567"/>
        <w:jc w:val="both"/>
        <w:rPr>
          <w:bCs/>
          <w:szCs w:val="24"/>
          <w:lang w:eastAsia="ru-RU"/>
        </w:rPr>
      </w:pPr>
      <w:r>
        <w:rPr>
          <w:bCs/>
          <w:szCs w:val="24"/>
          <w:lang w:eastAsia="ru-RU"/>
        </w:rPr>
        <w:t>Каждый ИБП должен обеспечивать не менее 30 % запаса по мощности для развития серверного помещения.</w:t>
      </w:r>
    </w:p>
    <w:p>
      <w:pPr>
        <w:ind w:left="567"/>
        <w:jc w:val="both"/>
        <w:rPr>
          <w:bCs/>
          <w:szCs w:val="24"/>
          <w:lang w:eastAsia="ru-RU"/>
        </w:rPr>
      </w:pPr>
    </w:p>
    <w:p>
      <w:pPr>
        <w:ind w:left="567"/>
        <w:jc w:val="both"/>
        <w:rPr>
          <w:bCs/>
          <w:szCs w:val="24"/>
          <w:lang w:eastAsia="ru-RU"/>
        </w:rPr>
      </w:pPr>
      <w:r>
        <w:rPr>
          <w:bCs/>
          <w:szCs w:val="24"/>
          <w:lang w:eastAsia="ru-RU"/>
        </w:rPr>
        <w:t>Все расчетные данные, касающиеся ИБП, должны быть приведены в документации. Журнал проверки напряжения и мощности ИБП должен находиться в серверном помещении или у определенного должностного лица, ответственного за электрохозяйство серверного помещения. Проверки и записи в журнал (</w:t>
      </w:r>
      <w:hyperlink w:anchor="_Приложение_2._Перечень" w:history="1">
        <w:r>
          <w:rPr>
            <w:rStyle w:val="aa"/>
          </w:rPr>
          <w:t>Приложение 1</w:t>
        </w:r>
      </w:hyperlink>
      <w:r>
        <w:rPr>
          <w:rStyle w:val="aa"/>
          <w:rFonts w:eastAsia="Times New Roman"/>
          <w:color w:val="auto"/>
          <w:u w:val="none"/>
        </w:rPr>
        <w:t xml:space="preserve">) </w:t>
      </w:r>
      <w:r>
        <w:rPr>
          <w:bCs/>
          <w:szCs w:val="24"/>
          <w:lang w:eastAsia="ru-RU"/>
        </w:rPr>
        <w:t xml:space="preserve">осуществляются в соответствии с рекомендациями производителя и технической документации ИБП и </w:t>
      </w:r>
      <w:r>
        <w:t xml:space="preserve">Правил по охране труда при эксплуатации электроустановок, </w:t>
      </w:r>
      <w:r>
        <w:rPr>
          <w:bCs/>
          <w:szCs w:val="24"/>
          <w:lang w:eastAsia="ru-RU"/>
        </w:rPr>
        <w:t>но не реже чем 2 раза в год.</w:t>
      </w:r>
    </w:p>
    <w:p>
      <w:pPr>
        <w:ind w:left="567"/>
        <w:jc w:val="both"/>
        <w:rPr>
          <w:bCs/>
          <w:szCs w:val="24"/>
          <w:lang w:eastAsia="ru-RU"/>
        </w:rPr>
      </w:pPr>
    </w:p>
    <w:p>
      <w:pPr>
        <w:numPr>
          <w:ilvl w:val="0"/>
          <w:numId w:val="2"/>
        </w:numPr>
        <w:tabs>
          <w:tab w:val="num" w:pos="540"/>
        </w:tabs>
        <w:spacing w:before="120"/>
        <w:ind w:left="538" w:hanging="357"/>
        <w:jc w:val="both"/>
        <w:rPr>
          <w:szCs w:val="24"/>
        </w:rPr>
      </w:pPr>
      <w:r>
        <w:rPr>
          <w:szCs w:val="24"/>
        </w:rPr>
        <w:t>ПРЭ</w:t>
      </w:r>
    </w:p>
    <w:p>
      <w:pPr>
        <w:pStyle w:val="S4"/>
        <w:widowControl/>
      </w:pPr>
    </w:p>
    <w:p>
      <w:pPr>
        <w:ind w:left="567"/>
        <w:jc w:val="both"/>
        <w:rPr>
          <w:bCs/>
          <w:szCs w:val="24"/>
          <w:lang w:eastAsia="ru-RU"/>
        </w:rPr>
      </w:pPr>
      <w:r>
        <w:rPr>
          <w:bCs/>
          <w:szCs w:val="24"/>
          <w:lang w:eastAsia="ru-RU"/>
        </w:rPr>
        <w:t xml:space="preserve">ПРЭ включает в себя распределительные щиты серверного помещения и кабели питания до оборудования. ПРЭ должна быть </w:t>
      </w:r>
      <w:r>
        <w:t>трехфазной.</w:t>
      </w:r>
      <w:r>
        <w:rPr>
          <w:bCs/>
          <w:szCs w:val="24"/>
          <w:lang w:eastAsia="ru-RU"/>
        </w:rPr>
        <w:t xml:space="preserve"> Основные требования к подсистеме:</w:t>
      </w:r>
    </w:p>
    <w:p>
      <w:pPr>
        <w:numPr>
          <w:ilvl w:val="1"/>
          <w:numId w:val="17"/>
        </w:numPr>
        <w:spacing w:before="120"/>
        <w:ind w:left="896" w:hanging="357"/>
        <w:jc w:val="both"/>
        <w:rPr>
          <w:szCs w:val="24"/>
        </w:rPr>
      </w:pPr>
      <w:r>
        <w:rPr>
          <w:szCs w:val="24"/>
        </w:rPr>
        <w:t>все потребители электропитания разбиваются на группы, чтобы обеспечить возможность проводить работы без отключения общего электропитания;</w:t>
      </w:r>
    </w:p>
    <w:p>
      <w:pPr>
        <w:numPr>
          <w:ilvl w:val="1"/>
          <w:numId w:val="17"/>
        </w:numPr>
        <w:spacing w:before="120"/>
        <w:ind w:left="896" w:hanging="357"/>
        <w:jc w:val="both"/>
        <w:rPr>
          <w:szCs w:val="24"/>
        </w:rPr>
      </w:pPr>
      <w:r>
        <w:rPr>
          <w:szCs w:val="24"/>
        </w:rPr>
        <w:t>каждая группа должна иметь свой АЗС;</w:t>
      </w:r>
    </w:p>
    <w:p>
      <w:pPr>
        <w:numPr>
          <w:ilvl w:val="1"/>
          <w:numId w:val="17"/>
        </w:numPr>
        <w:spacing w:before="120"/>
        <w:ind w:left="896" w:hanging="357"/>
        <w:jc w:val="both"/>
        <w:rPr>
          <w:szCs w:val="24"/>
        </w:rPr>
      </w:pPr>
      <w:r>
        <w:rPr>
          <w:szCs w:val="24"/>
        </w:rPr>
        <w:t>потребители могут иметь свой отдельный АЗС, но его номинал не должен превышать номинал основного (группового) АЗС;</w:t>
      </w:r>
    </w:p>
    <w:p>
      <w:pPr>
        <w:numPr>
          <w:ilvl w:val="1"/>
          <w:numId w:val="17"/>
        </w:numPr>
        <w:spacing w:before="120"/>
        <w:ind w:left="896" w:hanging="357"/>
        <w:jc w:val="both"/>
        <w:rPr>
          <w:szCs w:val="24"/>
        </w:rPr>
      </w:pPr>
      <w:r>
        <w:rPr>
          <w:szCs w:val="24"/>
        </w:rPr>
        <w:t>к каждой стойке с оборудованием (телекоммуникационному шкафу) подводится два кабеля питания, по одному от двух ИБП (основного и резервного);</w:t>
      </w:r>
    </w:p>
    <w:p>
      <w:pPr>
        <w:numPr>
          <w:ilvl w:val="1"/>
          <w:numId w:val="17"/>
        </w:numPr>
        <w:spacing w:before="120"/>
        <w:ind w:left="896" w:hanging="357"/>
        <w:jc w:val="both"/>
        <w:rPr>
          <w:szCs w:val="24"/>
        </w:rPr>
      </w:pPr>
      <w:r>
        <w:rPr>
          <w:szCs w:val="24"/>
        </w:rPr>
        <w:t>внутри стоек (шкафов) устанавливаются модули распределения питания для оборудования стойки;</w:t>
      </w:r>
    </w:p>
    <w:p>
      <w:pPr>
        <w:numPr>
          <w:ilvl w:val="1"/>
          <w:numId w:val="17"/>
        </w:numPr>
        <w:spacing w:before="120"/>
        <w:ind w:left="896" w:hanging="357"/>
        <w:jc w:val="both"/>
        <w:rPr>
          <w:szCs w:val="24"/>
        </w:rPr>
      </w:pPr>
      <w:r>
        <w:rPr>
          <w:szCs w:val="24"/>
        </w:rPr>
        <w:t>все соединения без использования стандартных розеток производятся в распределительных щитах, расположенных в серверном помещении;</w:t>
      </w:r>
    </w:p>
    <w:p>
      <w:pPr>
        <w:numPr>
          <w:ilvl w:val="1"/>
          <w:numId w:val="17"/>
        </w:numPr>
        <w:spacing w:before="120"/>
        <w:ind w:left="896" w:hanging="357"/>
        <w:jc w:val="both"/>
        <w:rPr>
          <w:szCs w:val="24"/>
        </w:rPr>
      </w:pPr>
      <w:r>
        <w:rPr>
          <w:szCs w:val="24"/>
        </w:rPr>
        <w:t>сечение кабелей питания должно быть определено, исходя из максимальной мощности, и иметь 50 % запас;</w:t>
      </w:r>
    </w:p>
    <w:p>
      <w:pPr>
        <w:numPr>
          <w:ilvl w:val="1"/>
          <w:numId w:val="17"/>
        </w:numPr>
        <w:spacing w:before="120"/>
        <w:ind w:left="896" w:hanging="357"/>
        <w:jc w:val="both"/>
        <w:rPr>
          <w:szCs w:val="24"/>
        </w:rPr>
      </w:pPr>
      <w:r>
        <w:rPr>
          <w:szCs w:val="24"/>
        </w:rPr>
        <w:t>кабели питания по серверному помещению прокладываются в металлических лотках в полостях фальшпола / фальшпотолка.</w:t>
      </w:r>
    </w:p>
    <w:p>
      <w:pPr>
        <w:ind w:left="896"/>
        <w:jc w:val="both"/>
        <w:rPr>
          <w:szCs w:val="24"/>
        </w:rPr>
      </w:pPr>
    </w:p>
    <w:p>
      <w:pPr>
        <w:numPr>
          <w:ilvl w:val="0"/>
          <w:numId w:val="2"/>
        </w:numPr>
        <w:tabs>
          <w:tab w:val="num" w:pos="540"/>
        </w:tabs>
        <w:spacing w:before="120"/>
        <w:ind w:left="538" w:hanging="357"/>
        <w:jc w:val="both"/>
        <w:rPr>
          <w:szCs w:val="24"/>
        </w:rPr>
      </w:pPr>
      <w:bookmarkStart w:id="101" w:name="_Toc142735133"/>
      <w:r>
        <w:rPr>
          <w:szCs w:val="24"/>
        </w:rPr>
        <w:t>ПТЗ</w:t>
      </w:r>
      <w:bookmarkEnd w:id="101"/>
    </w:p>
    <w:p>
      <w:pPr>
        <w:pStyle w:val="S4"/>
        <w:widowControl/>
      </w:pPr>
    </w:p>
    <w:p>
      <w:pPr>
        <w:pStyle w:val="S4"/>
        <w:widowControl/>
        <w:ind w:left="567"/>
      </w:pPr>
      <w:r>
        <w:rPr>
          <w:bCs/>
        </w:rPr>
        <w:t xml:space="preserve">ПТЗ серверного помещения выполняется отдельно от защитного заземления здания. </w:t>
      </w:r>
      <w:r>
        <w:t>Защитное заземление должно быть выполнено в соответствии с требованиями раздела 1 ПУЭ и ГОСТ. Заземляющий провод в 3-х штыревой розетке должен быть соединен с системой защитного заземления.</w:t>
      </w:r>
    </w:p>
    <w:p>
      <w:pPr>
        <w:pStyle w:val="S4"/>
        <w:widowControl/>
        <w:ind w:left="567"/>
        <w:rPr>
          <w:bCs/>
        </w:rPr>
      </w:pPr>
    </w:p>
    <w:p>
      <w:pPr>
        <w:pStyle w:val="S4"/>
        <w:widowControl/>
        <w:ind w:left="567"/>
      </w:pPr>
      <w:r>
        <w:rPr>
          <w:bCs/>
        </w:rPr>
        <w:t xml:space="preserve">Сопротивление технологического заземления должно соответствовать требованиям раздела 1 ПУЭ, как правило, менее 1 Ом. </w:t>
      </w:r>
      <w:r>
        <w:t xml:space="preserve">Непрерывность цепи заземления должна быть </w:t>
      </w:r>
      <w:r>
        <w:lastRenderedPageBreak/>
        <w:t xml:space="preserve">обеспечена сваркой стыков или проваркой перемычек. Все оборудование в </w:t>
      </w:r>
      <w:r>
        <w:rPr>
          <w:bCs/>
        </w:rPr>
        <w:t>серверном помещении должно иметь</w:t>
      </w:r>
      <w:r>
        <w:t xml:space="preserve"> заземление Порядок заземления должен быть указан в технической документации. Разность потенциалов между двумя точками подключения заземления не должна превышать 1 В. Для системы заземления серверного помещения необходимо предусмотреть уравнивание потенциалов.</w:t>
      </w:r>
    </w:p>
    <w:p>
      <w:pPr>
        <w:pStyle w:val="S4"/>
        <w:widowControl/>
        <w:ind w:left="567"/>
        <w:rPr>
          <w:bCs/>
        </w:rPr>
      </w:pPr>
    </w:p>
    <w:p>
      <w:pPr>
        <w:pStyle w:val="S4"/>
        <w:widowControl/>
        <w:ind w:left="567"/>
        <w:rPr>
          <w:bCs/>
        </w:rPr>
      </w:pPr>
      <w:r>
        <w:rPr>
          <w:bCs/>
        </w:rPr>
        <w:t>Присоединение технологического заземления к защитному заземлению здания производится непосредственно у защитных электродов, расположенных в грунте.</w:t>
      </w:r>
    </w:p>
    <w:p>
      <w:pPr>
        <w:pStyle w:val="S4"/>
        <w:widowControl/>
        <w:ind w:left="567"/>
        <w:rPr>
          <w:bCs/>
        </w:rPr>
      </w:pPr>
    </w:p>
    <w:p>
      <w:pPr>
        <w:pStyle w:val="S4"/>
        <w:widowControl/>
        <w:ind w:left="567"/>
        <w:rPr>
          <w:bCs/>
        </w:rPr>
      </w:pPr>
      <w:r>
        <w:rPr>
          <w:bCs/>
        </w:rPr>
        <w:t>Металлические части и конструкции серверного помещения должны быть также заземлены. Каждый шкаф (стойка) с оборудованием заземляется отдельным проводником.</w:t>
      </w:r>
    </w:p>
    <w:p>
      <w:pPr>
        <w:pStyle w:val="S4"/>
        <w:widowControl/>
        <w:ind w:left="567"/>
        <w:rPr>
          <w:bCs/>
        </w:rPr>
      </w:pPr>
    </w:p>
    <w:p>
      <w:pPr>
        <w:pStyle w:val="S4"/>
        <w:widowControl/>
        <w:ind w:left="567"/>
        <w:rPr>
          <w:bCs/>
        </w:rPr>
      </w:pPr>
      <w:r>
        <w:rPr>
          <w:bCs/>
        </w:rPr>
        <w:t>Несварные металлические конструкции серверной должны иметь заземляющие шайбы в болтовых соединениях, улучшающие электрический контакт между частями конструкции.</w:t>
      </w:r>
    </w:p>
    <w:p>
      <w:pPr>
        <w:pStyle w:val="S4"/>
        <w:widowControl/>
        <w:ind w:left="567"/>
        <w:rPr>
          <w:bCs/>
        </w:rPr>
      </w:pPr>
    </w:p>
    <w:p>
      <w:pPr>
        <w:numPr>
          <w:ilvl w:val="0"/>
          <w:numId w:val="2"/>
        </w:numPr>
        <w:tabs>
          <w:tab w:val="num" w:pos="540"/>
        </w:tabs>
        <w:spacing w:before="120"/>
        <w:ind w:left="538" w:hanging="357"/>
        <w:jc w:val="both"/>
        <w:rPr>
          <w:szCs w:val="24"/>
        </w:rPr>
      </w:pPr>
      <w:r>
        <w:rPr>
          <w:szCs w:val="24"/>
        </w:rPr>
        <w:t>ПЭО</w:t>
      </w:r>
    </w:p>
    <w:p>
      <w:pPr>
        <w:pStyle w:val="S4"/>
        <w:widowControl/>
      </w:pPr>
    </w:p>
    <w:p>
      <w:pPr>
        <w:ind w:left="567"/>
        <w:jc w:val="both"/>
        <w:rPr>
          <w:bCs/>
          <w:szCs w:val="24"/>
          <w:lang w:eastAsia="ru-RU"/>
        </w:rPr>
      </w:pPr>
      <w:r>
        <w:rPr>
          <w:bCs/>
          <w:szCs w:val="24"/>
          <w:lang w:eastAsia="ru-RU"/>
        </w:rPr>
        <w:t>Освещенность помещения серверной должна быть не менее 500 Люкс на высоте 1 метр от уровня пола.</w:t>
      </w:r>
    </w:p>
    <w:p>
      <w:pPr>
        <w:ind w:left="567"/>
        <w:jc w:val="both"/>
        <w:rPr>
          <w:bCs/>
          <w:szCs w:val="24"/>
          <w:lang w:eastAsia="ru-RU"/>
        </w:rPr>
      </w:pPr>
    </w:p>
    <w:p>
      <w:pPr>
        <w:ind w:left="567"/>
        <w:jc w:val="both"/>
        <w:rPr>
          <w:bCs/>
          <w:szCs w:val="24"/>
          <w:lang w:eastAsia="ru-RU"/>
        </w:rPr>
      </w:pPr>
      <w:r>
        <w:rPr>
          <w:bCs/>
          <w:szCs w:val="24"/>
          <w:lang w:eastAsia="ru-RU"/>
        </w:rPr>
        <w:t>Для освещения серверного помещения допустимо применять обычные или галогенные лампы накаливания. Применение газоразрядных ламп недопустимо из-за наличия электромагнитных помех при их работе.</w:t>
      </w:r>
    </w:p>
    <w:p>
      <w:pPr>
        <w:ind w:left="567"/>
        <w:jc w:val="both"/>
        <w:rPr>
          <w:bCs/>
          <w:szCs w:val="24"/>
          <w:lang w:eastAsia="ru-RU"/>
        </w:rPr>
      </w:pPr>
    </w:p>
    <w:p>
      <w:pPr>
        <w:ind w:left="567"/>
        <w:jc w:val="both"/>
        <w:rPr>
          <w:bCs/>
          <w:szCs w:val="24"/>
          <w:lang w:eastAsia="ru-RU"/>
        </w:rPr>
      </w:pPr>
      <w:r>
        <w:rPr>
          <w:bCs/>
          <w:szCs w:val="24"/>
          <w:lang w:eastAsia="ru-RU"/>
        </w:rPr>
        <w:t>Питание ПЭО осуществляется от ПГЭ серверного помещения.</w:t>
      </w:r>
    </w:p>
    <w:p>
      <w:pPr>
        <w:jc w:val="both"/>
        <w:rPr>
          <w:bCs/>
          <w:szCs w:val="24"/>
          <w:lang w:eastAsia="ru-RU"/>
        </w:rPr>
      </w:pPr>
    </w:p>
    <w:p>
      <w:pPr>
        <w:jc w:val="both"/>
        <w:rPr>
          <w:szCs w:val="24"/>
        </w:rPr>
      </w:pPr>
      <w:bookmarkStart w:id="102" w:name="_Toc142735135"/>
      <w:r>
        <w:rPr>
          <w:bCs/>
          <w:szCs w:val="24"/>
          <w:lang w:eastAsia="ru-RU"/>
        </w:rPr>
        <w:t>7.2.2. </w:t>
      </w:r>
      <w:bookmarkEnd w:id="102"/>
      <w:r>
        <w:rPr>
          <w:bCs/>
          <w:szCs w:val="24"/>
          <w:lang w:eastAsia="ru-RU"/>
        </w:rPr>
        <w:t>СМ</w:t>
      </w:r>
    </w:p>
    <w:p>
      <w:pPr>
        <w:jc w:val="both"/>
        <w:rPr>
          <w:szCs w:val="24"/>
        </w:rPr>
      </w:pPr>
    </w:p>
    <w:p>
      <w:pPr>
        <w:jc w:val="both"/>
      </w:pPr>
      <w:r>
        <w:rPr>
          <w:szCs w:val="24"/>
        </w:rPr>
        <w:t xml:space="preserve">Для помещения телекоммуникационной инфраструктуры связи должна быть разработана СМ. Обеспечение технического обслуживания СМ должно осуществляться организацией с действующим договором, имеющей соответствующие лицензии. СМ </w:t>
      </w:r>
      <w:r>
        <w:t xml:space="preserve">серверных помещений не допускается объединять с другими СМ здания. </w:t>
      </w:r>
      <w:r>
        <w:rPr>
          <w:szCs w:val="24"/>
        </w:rPr>
        <w:t>СМ</w:t>
      </w:r>
      <w:r>
        <w:t xml:space="preserve"> должна автоматически включаться при подаче электропитания после аварийного (в том числе кратковременного) сбоя в сети электроснабжения.</w:t>
      </w:r>
    </w:p>
    <w:p>
      <w:pPr>
        <w:jc w:val="both"/>
        <w:rPr>
          <w:szCs w:val="24"/>
        </w:rPr>
      </w:pPr>
    </w:p>
    <w:p>
      <w:pPr>
        <w:numPr>
          <w:ilvl w:val="0"/>
          <w:numId w:val="2"/>
        </w:numPr>
        <w:tabs>
          <w:tab w:val="num" w:pos="540"/>
        </w:tabs>
        <w:spacing w:before="120"/>
        <w:ind w:left="538" w:hanging="357"/>
        <w:jc w:val="both"/>
        <w:rPr>
          <w:szCs w:val="24"/>
        </w:rPr>
      </w:pPr>
      <w:bookmarkStart w:id="103" w:name="_Toc142735136"/>
      <w:r>
        <w:rPr>
          <w:szCs w:val="24"/>
        </w:rPr>
        <w:t>Подсистема кондиционирования и вентиляции</w:t>
      </w:r>
      <w:bookmarkEnd w:id="103"/>
      <w:r>
        <w:rPr>
          <w:szCs w:val="24"/>
        </w:rPr>
        <w:t>.</w:t>
      </w:r>
    </w:p>
    <w:p>
      <w:pPr>
        <w:pStyle w:val="S4"/>
        <w:widowControl/>
      </w:pPr>
    </w:p>
    <w:p>
      <w:pPr>
        <w:pStyle w:val="S4"/>
        <w:widowControl/>
        <w:ind w:left="567"/>
        <w:rPr>
          <w:bCs/>
        </w:rPr>
      </w:pPr>
      <w:r>
        <w:rPr>
          <w:bCs/>
        </w:rPr>
        <w:t>В серверном помещении должны соблюдаться следующие климатические условия:</w:t>
      </w:r>
    </w:p>
    <w:p>
      <w:pPr>
        <w:numPr>
          <w:ilvl w:val="1"/>
          <w:numId w:val="17"/>
        </w:numPr>
        <w:spacing w:before="120"/>
        <w:ind w:left="896" w:hanging="357"/>
        <w:jc w:val="both"/>
        <w:rPr>
          <w:szCs w:val="24"/>
        </w:rPr>
      </w:pPr>
      <w:r>
        <w:rPr>
          <w:szCs w:val="24"/>
        </w:rPr>
        <w:t>температура воздуха в помещении: 18ºС-24ºС;</w:t>
      </w:r>
    </w:p>
    <w:p>
      <w:pPr>
        <w:numPr>
          <w:ilvl w:val="1"/>
          <w:numId w:val="17"/>
        </w:numPr>
        <w:spacing w:before="120"/>
        <w:ind w:left="896" w:hanging="357"/>
        <w:jc w:val="both"/>
        <w:rPr>
          <w:szCs w:val="24"/>
        </w:rPr>
      </w:pPr>
      <w:r>
        <w:rPr>
          <w:szCs w:val="24"/>
        </w:rPr>
        <w:t>допустимые отклонения температуры: ± 2ºС;</w:t>
      </w:r>
    </w:p>
    <w:p>
      <w:pPr>
        <w:numPr>
          <w:ilvl w:val="1"/>
          <w:numId w:val="17"/>
        </w:numPr>
        <w:spacing w:before="120"/>
        <w:ind w:left="896" w:hanging="357"/>
        <w:jc w:val="both"/>
        <w:rPr>
          <w:szCs w:val="24"/>
        </w:rPr>
      </w:pPr>
      <w:r>
        <w:rPr>
          <w:szCs w:val="24"/>
        </w:rPr>
        <w:t>относительная влажность воздуха: 40-50 %;</w:t>
      </w:r>
    </w:p>
    <w:p>
      <w:pPr>
        <w:numPr>
          <w:ilvl w:val="1"/>
          <w:numId w:val="17"/>
        </w:numPr>
        <w:spacing w:before="120"/>
        <w:ind w:left="896" w:hanging="357"/>
        <w:jc w:val="both"/>
        <w:rPr>
          <w:szCs w:val="24"/>
        </w:rPr>
      </w:pPr>
      <w:r>
        <w:rPr>
          <w:szCs w:val="24"/>
        </w:rPr>
        <w:t>точность поддержания влажности: ± 1 %.</w:t>
      </w:r>
    </w:p>
    <w:p>
      <w:pPr>
        <w:pStyle w:val="S4"/>
        <w:widowControl/>
      </w:pPr>
    </w:p>
    <w:p>
      <w:pPr>
        <w:ind w:left="567"/>
        <w:jc w:val="both"/>
        <w:rPr>
          <w:bCs/>
          <w:szCs w:val="24"/>
          <w:lang w:eastAsia="ru-RU"/>
        </w:rPr>
      </w:pPr>
      <w:r>
        <w:rPr>
          <w:bCs/>
          <w:szCs w:val="24"/>
          <w:lang w:eastAsia="ru-RU"/>
        </w:rPr>
        <w:t xml:space="preserve">Фактическая холодильная мощность системы кондиционирования воздуха должна превышать суммарное тепловыделение всего оборудования и систем, размещенного в помещении серверном помещении </w:t>
      </w:r>
      <w:r>
        <w:t>(технологическое оборудование, оборудование инженерных систем, электрораспределительная сеть, освещение, работники и т. д.)</w:t>
      </w:r>
      <w:r>
        <w:rPr>
          <w:bCs/>
          <w:szCs w:val="24"/>
          <w:lang w:eastAsia="ru-RU"/>
        </w:rPr>
        <w:t>.</w:t>
      </w:r>
    </w:p>
    <w:p>
      <w:pPr>
        <w:ind w:left="567"/>
        <w:jc w:val="both"/>
      </w:pPr>
      <w:r>
        <w:rPr>
          <w:bCs/>
          <w:szCs w:val="24"/>
          <w:lang w:eastAsia="ru-RU"/>
        </w:rPr>
        <w:lastRenderedPageBreak/>
        <w:t xml:space="preserve">Кондиционирование воздуха серверного помещения выполняют с использованием 100 % резервирования (минимум два независимых кондиционера, каждый способен самостоятельно обеспечить температурный режим помещения). </w:t>
      </w:r>
      <w:r>
        <w:t>Систему кондиционирования серверного помещения не допускается объединять с другими системами кондиционирования здания. Расчет системы кондиционирования серверного помещения должен учитывать теплоотвод всех имеющихся в помещении источников.</w:t>
      </w:r>
    </w:p>
    <w:p>
      <w:pPr>
        <w:ind w:left="567"/>
        <w:jc w:val="both"/>
        <w:rPr>
          <w:bCs/>
          <w:szCs w:val="24"/>
          <w:lang w:eastAsia="ru-RU"/>
        </w:rPr>
      </w:pPr>
    </w:p>
    <w:p>
      <w:pPr>
        <w:ind w:left="567"/>
        <w:jc w:val="both"/>
        <w:rPr>
          <w:bCs/>
          <w:szCs w:val="24"/>
          <w:lang w:eastAsia="ru-RU"/>
        </w:rPr>
      </w:pPr>
      <w:r>
        <w:rPr>
          <w:bCs/>
          <w:szCs w:val="24"/>
          <w:lang w:eastAsia="ru-RU"/>
        </w:rPr>
        <w:t>Система кондиционирования должна обеспечивать возможность удаленного мониторинга (с использованием протоколов HTTP, SNMP).</w:t>
      </w:r>
    </w:p>
    <w:p>
      <w:pPr>
        <w:ind w:left="567"/>
        <w:jc w:val="both"/>
        <w:rPr>
          <w:bCs/>
          <w:szCs w:val="24"/>
          <w:lang w:eastAsia="ru-RU"/>
        </w:rPr>
      </w:pPr>
    </w:p>
    <w:p>
      <w:pPr>
        <w:ind w:left="567"/>
        <w:jc w:val="both"/>
        <w:rPr>
          <w:bCs/>
          <w:szCs w:val="24"/>
          <w:lang w:eastAsia="ru-RU"/>
        </w:rPr>
      </w:pPr>
      <w:r>
        <w:rPr>
          <w:bCs/>
          <w:szCs w:val="24"/>
          <w:lang w:eastAsia="ru-RU"/>
        </w:rPr>
        <w:t>Для серверного помещения необходим приток свежего воздуха с обеспечением фильтрации (класс EU4) и подогревом поступающего воздуха (в зимний период). Причем давление в помещении должно быть положительным, относительно давления в остальных помещениях здания.</w:t>
      </w:r>
    </w:p>
    <w:p>
      <w:pPr>
        <w:ind w:left="567"/>
        <w:jc w:val="both"/>
        <w:rPr>
          <w:bCs/>
          <w:szCs w:val="24"/>
          <w:lang w:eastAsia="ru-RU"/>
        </w:rPr>
      </w:pPr>
    </w:p>
    <w:p>
      <w:pPr>
        <w:ind w:left="567"/>
        <w:jc w:val="both"/>
        <w:rPr>
          <w:bCs/>
          <w:szCs w:val="24"/>
          <w:lang w:eastAsia="ru-RU"/>
        </w:rPr>
      </w:pPr>
      <w:r>
        <w:rPr>
          <w:bCs/>
          <w:szCs w:val="24"/>
          <w:lang w:eastAsia="ru-RU"/>
        </w:rPr>
        <w:t>На воздуховодах приточной и вытяжной вентиляций необходимо устанавливать защитные клапаны, управляемые АУГП.</w:t>
      </w:r>
    </w:p>
    <w:p>
      <w:pPr>
        <w:ind w:left="567"/>
        <w:jc w:val="both"/>
        <w:rPr>
          <w:bCs/>
          <w:szCs w:val="24"/>
          <w:lang w:eastAsia="ru-RU"/>
        </w:rPr>
      </w:pPr>
    </w:p>
    <w:p>
      <w:pPr>
        <w:ind w:left="567"/>
        <w:jc w:val="both"/>
        <w:rPr>
          <w:bCs/>
          <w:szCs w:val="24"/>
          <w:lang w:eastAsia="ru-RU"/>
        </w:rPr>
      </w:pPr>
      <w:r>
        <w:rPr>
          <w:bCs/>
          <w:szCs w:val="24"/>
          <w:lang w:eastAsia="ru-RU"/>
        </w:rPr>
        <w:t>Необходимо предусмотреть отключение систем кондиционирования и приточно-вытяжной вентиляции по сигналу пожарной сигнализации и пожаротушения.</w:t>
      </w:r>
    </w:p>
    <w:p>
      <w:pPr>
        <w:ind w:left="567"/>
        <w:jc w:val="both"/>
        <w:rPr>
          <w:bCs/>
          <w:szCs w:val="24"/>
          <w:lang w:eastAsia="ru-RU"/>
        </w:rPr>
      </w:pPr>
    </w:p>
    <w:p>
      <w:pPr>
        <w:ind w:left="567"/>
        <w:jc w:val="both"/>
        <w:rPr>
          <w:bCs/>
          <w:szCs w:val="24"/>
          <w:lang w:eastAsia="ru-RU"/>
        </w:rPr>
      </w:pPr>
      <w:r>
        <w:rPr>
          <w:bCs/>
          <w:szCs w:val="24"/>
          <w:lang w:eastAsia="ru-RU"/>
        </w:rPr>
        <w:t>Электропитание кондиционеров серверного помещения должно осуществляться от ПГЭ или ПБЭ.</w:t>
      </w:r>
    </w:p>
    <w:p>
      <w:pPr>
        <w:pStyle w:val="S4"/>
        <w:widowControl/>
        <w:rPr>
          <w:bCs/>
        </w:rPr>
      </w:pPr>
    </w:p>
    <w:p>
      <w:pPr>
        <w:numPr>
          <w:ilvl w:val="0"/>
          <w:numId w:val="2"/>
        </w:numPr>
        <w:tabs>
          <w:tab w:val="num" w:pos="540"/>
        </w:tabs>
        <w:spacing w:before="120"/>
        <w:ind w:left="538" w:hanging="357"/>
        <w:jc w:val="both"/>
        <w:rPr>
          <w:bCs/>
          <w:szCs w:val="24"/>
          <w:lang w:eastAsia="ru-RU"/>
        </w:rPr>
      </w:pPr>
      <w:r>
        <w:rPr>
          <w:szCs w:val="24"/>
        </w:rPr>
        <w:t>СММ</w:t>
      </w:r>
    </w:p>
    <w:p>
      <w:pPr>
        <w:pStyle w:val="S4"/>
        <w:widowControl/>
      </w:pPr>
    </w:p>
    <w:p>
      <w:pPr>
        <w:pStyle w:val="S4"/>
        <w:widowControl/>
        <w:ind w:left="567"/>
        <w:rPr>
          <w:bCs/>
        </w:rPr>
      </w:pPr>
      <w:r>
        <w:rPr>
          <w:bCs/>
        </w:rPr>
        <w:t>СММ предназначена для мониторинга и контроля климатических и других параметров в серверных шкафах и телекоммуникационных стойках. В каждом шкафу необходимо устанавливать датчики для контроля следующих параметров:</w:t>
      </w:r>
    </w:p>
    <w:p>
      <w:pPr>
        <w:numPr>
          <w:ilvl w:val="1"/>
          <w:numId w:val="17"/>
        </w:numPr>
        <w:spacing w:before="120"/>
        <w:ind w:left="896" w:hanging="357"/>
        <w:jc w:val="both"/>
        <w:rPr>
          <w:szCs w:val="24"/>
        </w:rPr>
      </w:pPr>
      <w:r>
        <w:rPr>
          <w:szCs w:val="24"/>
        </w:rPr>
        <w:t>температура воздуха;</w:t>
      </w:r>
    </w:p>
    <w:p>
      <w:pPr>
        <w:numPr>
          <w:ilvl w:val="1"/>
          <w:numId w:val="17"/>
        </w:numPr>
        <w:spacing w:before="120"/>
        <w:ind w:left="896" w:hanging="357"/>
        <w:jc w:val="both"/>
        <w:rPr>
          <w:szCs w:val="24"/>
        </w:rPr>
      </w:pPr>
      <w:r>
        <w:rPr>
          <w:szCs w:val="24"/>
        </w:rPr>
        <w:t>запыленность воздуха;</w:t>
      </w:r>
    </w:p>
    <w:p>
      <w:pPr>
        <w:numPr>
          <w:ilvl w:val="1"/>
          <w:numId w:val="17"/>
        </w:numPr>
        <w:spacing w:before="120"/>
        <w:ind w:left="896" w:hanging="357"/>
        <w:jc w:val="both"/>
        <w:rPr>
          <w:szCs w:val="24"/>
        </w:rPr>
      </w:pPr>
      <w:r>
        <w:rPr>
          <w:szCs w:val="24"/>
        </w:rPr>
        <w:t>скорость потока воздуха;</w:t>
      </w:r>
    </w:p>
    <w:p>
      <w:pPr>
        <w:numPr>
          <w:ilvl w:val="1"/>
          <w:numId w:val="17"/>
        </w:numPr>
        <w:spacing w:before="120"/>
        <w:ind w:left="896" w:hanging="357"/>
        <w:jc w:val="both"/>
        <w:rPr>
          <w:szCs w:val="24"/>
        </w:rPr>
      </w:pPr>
      <w:r>
        <w:rPr>
          <w:szCs w:val="24"/>
        </w:rPr>
        <w:t>задымленность воздуха;</w:t>
      </w:r>
    </w:p>
    <w:p>
      <w:pPr>
        <w:numPr>
          <w:ilvl w:val="1"/>
          <w:numId w:val="17"/>
        </w:numPr>
        <w:spacing w:before="120"/>
        <w:ind w:left="896" w:hanging="357"/>
        <w:jc w:val="both"/>
        <w:rPr>
          <w:szCs w:val="24"/>
        </w:rPr>
      </w:pPr>
      <w:r>
        <w:rPr>
          <w:szCs w:val="24"/>
        </w:rPr>
        <w:t>открытие / закрытие дверей шкафов.</w:t>
      </w:r>
    </w:p>
    <w:p>
      <w:pPr>
        <w:pStyle w:val="S4"/>
        <w:widowControl/>
        <w:ind w:left="567"/>
        <w:rPr>
          <w:bCs/>
        </w:rPr>
      </w:pPr>
      <w:r>
        <w:rPr>
          <w:bCs/>
        </w:rPr>
        <w:t>Возможности СММ должны обеспечивать оперативный контроль параметров микроклимата внутри шкафов и управление климатическим оборудованием для обеспечения надежного отвода рассеиваемой мощности.</w:t>
      </w:r>
    </w:p>
    <w:p>
      <w:pPr>
        <w:pStyle w:val="S4"/>
        <w:widowControl/>
        <w:rPr>
          <w:bCs/>
        </w:rPr>
      </w:pPr>
    </w:p>
    <w:p>
      <w:pPr>
        <w:jc w:val="both"/>
        <w:rPr>
          <w:szCs w:val="24"/>
        </w:rPr>
      </w:pPr>
      <w:bookmarkStart w:id="104" w:name="_Toc142735138"/>
      <w:r>
        <w:rPr>
          <w:szCs w:val="24"/>
        </w:rPr>
        <w:t xml:space="preserve">7.2.3. Система </w:t>
      </w:r>
      <w:r>
        <w:rPr>
          <w:bCs/>
          <w:szCs w:val="24"/>
          <w:lang w:eastAsia="ru-RU"/>
        </w:rPr>
        <w:t>организации</w:t>
      </w:r>
      <w:r>
        <w:rPr>
          <w:szCs w:val="24"/>
        </w:rPr>
        <w:t xml:space="preserve"> оборудования и кабельного хозяйства</w:t>
      </w:r>
      <w:bookmarkEnd w:id="104"/>
    </w:p>
    <w:p>
      <w:pPr>
        <w:jc w:val="both"/>
        <w:rPr>
          <w:szCs w:val="24"/>
        </w:rPr>
      </w:pPr>
    </w:p>
    <w:p>
      <w:pPr>
        <w:numPr>
          <w:ilvl w:val="0"/>
          <w:numId w:val="2"/>
        </w:numPr>
        <w:tabs>
          <w:tab w:val="num" w:pos="540"/>
        </w:tabs>
        <w:ind w:left="538" w:hanging="357"/>
        <w:jc w:val="both"/>
        <w:rPr>
          <w:szCs w:val="24"/>
        </w:rPr>
      </w:pPr>
      <w:r>
        <w:rPr>
          <w:szCs w:val="24"/>
        </w:rPr>
        <w:t>ПФФ</w:t>
      </w:r>
    </w:p>
    <w:p>
      <w:pPr>
        <w:pStyle w:val="S4"/>
        <w:widowControl/>
      </w:pPr>
    </w:p>
    <w:p>
      <w:pPr>
        <w:ind w:left="567"/>
        <w:jc w:val="both"/>
        <w:rPr>
          <w:bCs/>
          <w:szCs w:val="24"/>
          <w:lang w:eastAsia="ru-RU"/>
        </w:rPr>
      </w:pPr>
      <w:r>
        <w:rPr>
          <w:bCs/>
          <w:szCs w:val="24"/>
          <w:lang w:eastAsia="ru-RU"/>
        </w:rPr>
        <w:t xml:space="preserve">В серверном помещении должны быть организованы ПФФ и установлены </w:t>
      </w:r>
      <w:r>
        <w:rPr>
          <w:szCs w:val="24"/>
        </w:rPr>
        <w:t xml:space="preserve">фальшпотолок и </w:t>
      </w:r>
      <w:r>
        <w:rPr>
          <w:bCs/>
          <w:szCs w:val="24"/>
          <w:lang w:eastAsia="ru-RU"/>
        </w:rPr>
        <w:t xml:space="preserve">фальшпол. Просвет между фальшполом и фальшпотолком должен быть не менее 2500 мм. Расстояние между строительным полом и фальшполом должно быть не менее 300 мм (рекомендуемое 400 мм) от основного перекрытия до уровня чистого пола помещения. Крутизна устанавливаемого на входе в серверное помещение пандуса не должна превышать значение 1:10. Конструкция фальшпола должна выдерживать расчетные нагрузки и состоять из легкосъемных модулей (плиток). При </w:t>
      </w:r>
      <w:r>
        <w:rPr>
          <w:bCs/>
          <w:szCs w:val="24"/>
          <w:lang w:eastAsia="ru-RU"/>
        </w:rPr>
        <w:lastRenderedPageBreak/>
        <w:t>этом необходимо учитывать то, что отдельные устройства телекоммуникационного оборудования могут создавать точечную нагрузку на пол до 1000 кг. Материал покрытия пола должен иметь электрическое сопротивление относительно земли от 1,0 МОм (минимум) до 20 МОм при изменениях относительной влажности от 20 до 60 % и температуры от +18°С до +24°С, а также обладать повышенной износостойкостью, низкой возгораемостью, повышенной стойкостью к царапанью и выкрашиванию. Плиты фальшпола должны иметь антистатическое покрытие с сопротивлением не менее 106 Ом и позволять выполнять очистку пылесосом и влажную уборку Полы должны иметь антистатические свойства. В серверном помещении запрещается использование ковровых покрытий. Стойки и плиты фальшпола должны обеспечивать непрерывность металлического контакта и подключаться к точкам заземления в соответствии с ПУЭ. Поверхности под фальшполом должны окрашиваться или герметизироваться для предотвращения отслаивания и пыления штукатурки или бетона перекрытия. В строительном перекрытии под фальшполом обязательно необходимо сделать дренаж для оттока воды в случае аварийного протекания.</w:t>
      </w:r>
    </w:p>
    <w:p>
      <w:pPr>
        <w:ind w:left="567"/>
        <w:jc w:val="both"/>
        <w:rPr>
          <w:bCs/>
          <w:szCs w:val="24"/>
          <w:lang w:eastAsia="ru-RU"/>
        </w:rPr>
      </w:pPr>
    </w:p>
    <w:p>
      <w:pPr>
        <w:ind w:left="567"/>
        <w:jc w:val="both"/>
        <w:rPr>
          <w:bCs/>
          <w:szCs w:val="24"/>
          <w:lang w:eastAsia="ru-RU"/>
        </w:rPr>
      </w:pPr>
      <w:r>
        <w:rPr>
          <w:bCs/>
          <w:szCs w:val="24"/>
          <w:lang w:eastAsia="ru-RU"/>
        </w:rPr>
        <w:t>Все конструкции фальшпола должны быть заземлены от общей шины технологического заземления.</w:t>
      </w:r>
    </w:p>
    <w:p>
      <w:pPr>
        <w:ind w:left="567"/>
        <w:jc w:val="both"/>
        <w:rPr>
          <w:bCs/>
          <w:szCs w:val="24"/>
          <w:lang w:eastAsia="ru-RU"/>
        </w:rPr>
      </w:pPr>
    </w:p>
    <w:p>
      <w:pPr>
        <w:numPr>
          <w:ilvl w:val="0"/>
          <w:numId w:val="2"/>
        </w:numPr>
        <w:tabs>
          <w:tab w:val="num" w:pos="540"/>
        </w:tabs>
        <w:ind w:left="538" w:hanging="357"/>
        <w:jc w:val="both"/>
        <w:rPr>
          <w:bCs/>
          <w:szCs w:val="24"/>
          <w:lang w:eastAsia="ru-RU"/>
        </w:rPr>
      </w:pPr>
      <w:r>
        <w:rPr>
          <w:szCs w:val="24"/>
        </w:rPr>
        <w:t>ПШС</w:t>
      </w:r>
    </w:p>
    <w:p>
      <w:pPr>
        <w:pStyle w:val="S4"/>
        <w:widowControl/>
      </w:pPr>
    </w:p>
    <w:p>
      <w:pPr>
        <w:ind w:left="567"/>
        <w:jc w:val="both"/>
        <w:rPr>
          <w:bCs/>
          <w:szCs w:val="24"/>
          <w:lang w:eastAsia="ru-RU"/>
        </w:rPr>
      </w:pPr>
      <w:r>
        <w:rPr>
          <w:bCs/>
          <w:szCs w:val="24"/>
          <w:lang w:eastAsia="ru-RU"/>
        </w:rPr>
        <w:t xml:space="preserve">Все оборудование </w:t>
      </w:r>
      <w:r>
        <w:rPr>
          <w:iCs/>
          <w:szCs w:val="24"/>
          <w:lang w:eastAsia="ru-RU"/>
        </w:rPr>
        <w:t>ПШС</w:t>
      </w:r>
      <w:r>
        <w:rPr>
          <w:bCs/>
          <w:szCs w:val="24"/>
          <w:lang w:eastAsia="ru-RU"/>
        </w:rPr>
        <w:t xml:space="preserve"> в серверном помещении размещается в закрытых или открытых стойках в шкафах. Количество стоек (шкафов) определяется исходя из имеющегося оборудования и его типоразмеров, способов монтажа.</w:t>
      </w:r>
    </w:p>
    <w:p>
      <w:pPr>
        <w:ind w:left="567"/>
        <w:jc w:val="both"/>
        <w:rPr>
          <w:bCs/>
          <w:szCs w:val="24"/>
          <w:lang w:eastAsia="ru-RU"/>
        </w:rPr>
      </w:pPr>
    </w:p>
    <w:p>
      <w:pPr>
        <w:ind w:left="567"/>
        <w:jc w:val="both"/>
        <w:rPr>
          <w:bCs/>
          <w:szCs w:val="24"/>
          <w:lang w:eastAsia="ru-RU"/>
        </w:rPr>
      </w:pPr>
      <w:r>
        <w:rPr>
          <w:bCs/>
          <w:szCs w:val="24"/>
          <w:lang w:eastAsia="ru-RU"/>
        </w:rPr>
        <w:t>Для улучшения температурного режима шкафы (стойки) размещаются рядами с образованием «горячих» и «холодных» коридоров. Промежутки между шкафами в ряду не допускаются.</w:t>
      </w:r>
    </w:p>
    <w:p>
      <w:pPr>
        <w:ind w:left="567"/>
        <w:jc w:val="both"/>
        <w:rPr>
          <w:bCs/>
          <w:szCs w:val="24"/>
          <w:lang w:eastAsia="ru-RU"/>
        </w:rPr>
      </w:pPr>
    </w:p>
    <w:p>
      <w:pPr>
        <w:ind w:left="567"/>
        <w:jc w:val="both"/>
        <w:rPr>
          <w:bCs/>
          <w:szCs w:val="24"/>
          <w:lang w:eastAsia="ru-RU"/>
        </w:rPr>
      </w:pPr>
      <w:r>
        <w:rPr>
          <w:bCs/>
          <w:szCs w:val="24"/>
          <w:lang w:eastAsia="ru-RU"/>
        </w:rPr>
        <w:t>Распределение оборудования по шкафам (стойкам) осуществляется с учетом совместимости (возможного взаимного влияния, оптимального распределения потребляемой мощности, а значит и тепловыделения), оптимальности коммуникаций, габаритам и массе оборудования.</w:t>
      </w:r>
    </w:p>
    <w:p>
      <w:pPr>
        <w:ind w:left="567"/>
        <w:jc w:val="both"/>
        <w:rPr>
          <w:bCs/>
          <w:szCs w:val="24"/>
          <w:lang w:eastAsia="ru-RU"/>
        </w:rPr>
      </w:pPr>
    </w:p>
    <w:p>
      <w:pPr>
        <w:ind w:left="567"/>
        <w:jc w:val="both"/>
        <w:rPr>
          <w:bCs/>
          <w:szCs w:val="24"/>
          <w:lang w:eastAsia="ru-RU"/>
        </w:rPr>
      </w:pPr>
      <w:r>
        <w:rPr>
          <w:bCs/>
          <w:szCs w:val="24"/>
          <w:lang w:eastAsia="ru-RU"/>
        </w:rPr>
        <w:t>Закрытые шкафы, в отличие от стоек, позволяют организовать дополнительные ограничения на доступ к оборудованию. Доступ внутрь таких шкафов должен осуществляться с использованием подсистемы контроля доступа.</w:t>
      </w:r>
    </w:p>
    <w:p>
      <w:pPr>
        <w:ind w:left="567"/>
        <w:jc w:val="both"/>
        <w:rPr>
          <w:bCs/>
          <w:szCs w:val="24"/>
          <w:lang w:eastAsia="ru-RU"/>
        </w:rPr>
      </w:pPr>
      <w:r>
        <w:rPr>
          <w:bCs/>
          <w:szCs w:val="24"/>
          <w:lang w:eastAsia="ru-RU"/>
        </w:rPr>
        <w:t>Закрытые шкафы нуждаются в дополнительных мерах по обеспечению требуемого температурного режима. Для этого применяются дополнительные вентиляторы, встраиваемые системы охлаждения, модули отвода горячего воздуха.</w:t>
      </w:r>
    </w:p>
    <w:p>
      <w:pPr>
        <w:pStyle w:val="S4"/>
        <w:widowControl/>
        <w:rPr>
          <w:bCs/>
        </w:rPr>
      </w:pPr>
    </w:p>
    <w:p>
      <w:pPr>
        <w:numPr>
          <w:ilvl w:val="0"/>
          <w:numId w:val="2"/>
        </w:numPr>
        <w:tabs>
          <w:tab w:val="num" w:pos="540"/>
        </w:tabs>
        <w:ind w:left="538" w:hanging="357"/>
        <w:jc w:val="both"/>
        <w:rPr>
          <w:bCs/>
          <w:szCs w:val="24"/>
          <w:lang w:eastAsia="ru-RU"/>
        </w:rPr>
      </w:pPr>
      <w:r>
        <w:rPr>
          <w:iCs/>
          <w:szCs w:val="24"/>
          <w:lang w:eastAsia="ru-RU"/>
        </w:rPr>
        <w:t>ПОК</w:t>
      </w:r>
    </w:p>
    <w:p>
      <w:pPr>
        <w:pStyle w:val="S4"/>
        <w:widowControl/>
      </w:pPr>
    </w:p>
    <w:p>
      <w:pPr>
        <w:ind w:left="567"/>
        <w:jc w:val="both"/>
        <w:rPr>
          <w:bCs/>
          <w:szCs w:val="24"/>
          <w:lang w:eastAsia="ru-RU"/>
        </w:rPr>
      </w:pPr>
      <w:r>
        <w:rPr>
          <w:bCs/>
          <w:szCs w:val="24"/>
          <w:lang w:eastAsia="ru-RU"/>
        </w:rPr>
        <w:t>Все коммуникационные кабели ПОК внутри помещения должны быть организованы в лотки, проложенные в нишах фальшпола или фальшпотолка. Лотки электрических и сигнальных кабелей должны быть разнесены на расстояние не менее 50 см. Допускается пересечение трасс под углом 90 градусов.</w:t>
      </w:r>
    </w:p>
    <w:p>
      <w:pPr>
        <w:ind w:left="567"/>
        <w:jc w:val="both"/>
        <w:rPr>
          <w:bCs/>
          <w:szCs w:val="24"/>
          <w:lang w:eastAsia="ru-RU"/>
        </w:rPr>
      </w:pPr>
    </w:p>
    <w:p>
      <w:pPr>
        <w:ind w:left="567"/>
        <w:jc w:val="both"/>
        <w:rPr>
          <w:bCs/>
          <w:szCs w:val="24"/>
          <w:lang w:eastAsia="ru-RU"/>
        </w:rPr>
      </w:pPr>
      <w:r>
        <w:rPr>
          <w:bCs/>
          <w:szCs w:val="24"/>
          <w:lang w:eastAsia="ru-RU"/>
        </w:rPr>
        <w:lastRenderedPageBreak/>
        <w:t>Вводные каналы коммуникаций в телекоммуникационные шкафы и стойки должны обеспечивать свободную протяжку требуемого количества кабелей вместе с оконечными разъемами.</w:t>
      </w:r>
    </w:p>
    <w:p>
      <w:pPr>
        <w:ind w:left="567"/>
        <w:jc w:val="both"/>
        <w:rPr>
          <w:bCs/>
          <w:szCs w:val="24"/>
          <w:lang w:eastAsia="ru-RU"/>
        </w:rPr>
      </w:pPr>
    </w:p>
    <w:p>
      <w:pPr>
        <w:ind w:left="567"/>
        <w:jc w:val="both"/>
        <w:rPr>
          <w:bCs/>
          <w:szCs w:val="24"/>
          <w:lang w:eastAsia="ru-RU"/>
        </w:rPr>
      </w:pPr>
      <w:r>
        <w:rPr>
          <w:bCs/>
          <w:szCs w:val="24"/>
          <w:lang w:eastAsia="ru-RU"/>
        </w:rPr>
        <w:t>Коэффициент заполнения кабельных каналов и закладных не должен превышать 50-60 %. Внутри стоек и шкафов необходимо использовать кабельные организаторы, предотвращающие свисание лишней длины кабеля.</w:t>
      </w:r>
    </w:p>
    <w:p>
      <w:pPr>
        <w:ind w:left="567"/>
        <w:jc w:val="both"/>
        <w:rPr>
          <w:bCs/>
          <w:szCs w:val="24"/>
          <w:lang w:eastAsia="ru-RU"/>
        </w:rPr>
      </w:pPr>
    </w:p>
    <w:p>
      <w:pPr>
        <w:ind w:left="567"/>
        <w:jc w:val="both"/>
        <w:rPr>
          <w:bCs/>
          <w:szCs w:val="24"/>
          <w:lang w:eastAsia="ru-RU"/>
        </w:rPr>
      </w:pPr>
      <w:r>
        <w:rPr>
          <w:bCs/>
          <w:szCs w:val="24"/>
          <w:lang w:eastAsia="ru-RU"/>
        </w:rPr>
        <w:t>Для упрощения коммуникаций и исключения неисправностей разъемов, необходимо применять патч-панели.</w:t>
      </w:r>
    </w:p>
    <w:p>
      <w:pPr>
        <w:jc w:val="both"/>
        <w:rPr>
          <w:bCs/>
          <w:szCs w:val="24"/>
          <w:lang w:eastAsia="ru-RU"/>
        </w:rPr>
      </w:pPr>
    </w:p>
    <w:p>
      <w:pPr>
        <w:ind w:left="567"/>
        <w:jc w:val="both"/>
        <w:rPr>
          <w:bCs/>
          <w:szCs w:val="24"/>
          <w:lang w:eastAsia="ru-RU"/>
        </w:rPr>
      </w:pPr>
      <w:r>
        <w:rPr>
          <w:bCs/>
          <w:szCs w:val="24"/>
          <w:lang w:eastAsia="ru-RU"/>
        </w:rPr>
        <w:t>СКС должна обеспечивать:</w:t>
      </w:r>
    </w:p>
    <w:p>
      <w:pPr>
        <w:numPr>
          <w:ilvl w:val="1"/>
          <w:numId w:val="17"/>
        </w:numPr>
        <w:spacing w:before="120"/>
        <w:ind w:left="896" w:hanging="357"/>
        <w:jc w:val="both"/>
        <w:rPr>
          <w:szCs w:val="24"/>
        </w:rPr>
      </w:pPr>
      <w:r>
        <w:rPr>
          <w:szCs w:val="24"/>
        </w:rPr>
        <w:t>физическую среду передачи информации любого типа для существующих и перспективных ИС;</w:t>
      </w:r>
    </w:p>
    <w:p>
      <w:pPr>
        <w:numPr>
          <w:ilvl w:val="1"/>
          <w:numId w:val="17"/>
        </w:numPr>
        <w:spacing w:before="120"/>
        <w:ind w:left="896" w:hanging="357"/>
        <w:jc w:val="both"/>
        <w:rPr>
          <w:szCs w:val="24"/>
        </w:rPr>
      </w:pPr>
      <w:r>
        <w:rPr>
          <w:szCs w:val="24"/>
        </w:rPr>
        <w:t>возможность оперативного удовлетворения изменяющихся информационных потребностей без вложения значительных затрат в модернизацию кабельной сети;</w:t>
      </w:r>
    </w:p>
    <w:p>
      <w:pPr>
        <w:numPr>
          <w:ilvl w:val="1"/>
          <w:numId w:val="17"/>
        </w:numPr>
        <w:spacing w:before="120"/>
        <w:ind w:left="896" w:hanging="357"/>
        <w:jc w:val="both"/>
        <w:rPr>
          <w:szCs w:val="24"/>
        </w:rPr>
      </w:pPr>
      <w:r>
        <w:rPr>
          <w:szCs w:val="24"/>
        </w:rPr>
        <w:t>возможность адаптации к изменениям организационно-штатной структуры, изменения количества и месторасположения работников и оборудования, изменения состава серверной и его функциональных возможностей без проведения дополнительных работ.</w:t>
      </w:r>
    </w:p>
    <w:p>
      <w:pPr>
        <w:pStyle w:val="S4"/>
        <w:widowControl/>
      </w:pPr>
    </w:p>
    <w:p>
      <w:pPr>
        <w:ind w:left="567"/>
        <w:jc w:val="both"/>
      </w:pPr>
      <w:r>
        <w:rPr>
          <w:bCs/>
          <w:szCs w:val="24"/>
          <w:lang w:eastAsia="ru-RU"/>
        </w:rPr>
        <w:t xml:space="preserve">Все кабели, кроссовые коммуникации и патч-панели должны иметь маркировку, позволяющую идентифицировать каждый кабель (разъем, порт). </w:t>
      </w:r>
      <w:r>
        <w:t>Кабельные вводы должны быть защищены от несанкционированного доступа.</w:t>
      </w:r>
    </w:p>
    <w:p>
      <w:pPr>
        <w:jc w:val="both"/>
        <w:rPr>
          <w:bCs/>
          <w:szCs w:val="24"/>
          <w:lang w:eastAsia="ru-RU"/>
        </w:rPr>
      </w:pPr>
    </w:p>
    <w:p>
      <w:pPr>
        <w:jc w:val="both"/>
        <w:rPr>
          <w:bCs/>
          <w:szCs w:val="24"/>
          <w:lang w:eastAsia="ru-RU"/>
        </w:rPr>
      </w:pPr>
      <w:bookmarkStart w:id="105" w:name="_Toc142735142"/>
      <w:r>
        <w:rPr>
          <w:bCs/>
          <w:szCs w:val="24"/>
          <w:lang w:eastAsia="ru-RU"/>
        </w:rPr>
        <w:t>7.2.4. Система безопасности</w:t>
      </w:r>
      <w:bookmarkEnd w:id="105"/>
    </w:p>
    <w:p>
      <w:pPr>
        <w:jc w:val="both"/>
        <w:rPr>
          <w:bCs/>
          <w:szCs w:val="24"/>
          <w:lang w:eastAsia="ru-RU"/>
        </w:rPr>
      </w:pPr>
    </w:p>
    <w:p>
      <w:pPr>
        <w:numPr>
          <w:ilvl w:val="0"/>
          <w:numId w:val="2"/>
        </w:numPr>
        <w:tabs>
          <w:tab w:val="num" w:pos="540"/>
        </w:tabs>
        <w:ind w:left="538" w:hanging="357"/>
        <w:jc w:val="both"/>
        <w:rPr>
          <w:iCs/>
          <w:szCs w:val="24"/>
          <w:lang w:eastAsia="ru-RU"/>
        </w:rPr>
      </w:pPr>
      <w:r>
        <w:rPr>
          <w:iCs/>
          <w:szCs w:val="24"/>
          <w:lang w:eastAsia="ru-RU"/>
        </w:rPr>
        <w:t>СКУД</w:t>
      </w:r>
    </w:p>
    <w:p>
      <w:pPr>
        <w:pStyle w:val="S4"/>
        <w:widowControl/>
      </w:pPr>
    </w:p>
    <w:p>
      <w:pPr>
        <w:ind w:left="567"/>
        <w:jc w:val="both"/>
        <w:rPr>
          <w:bCs/>
          <w:szCs w:val="24"/>
          <w:lang w:eastAsia="ru-RU"/>
        </w:rPr>
      </w:pPr>
      <w:r>
        <w:rPr>
          <w:bCs/>
          <w:szCs w:val="24"/>
          <w:lang w:eastAsia="ru-RU"/>
        </w:rPr>
        <w:t>СКУД должна исключить несанкционированный доступ в серверное помещение неавторизованного персонала, в обязанности которого не входит монтаж, эксплуатация и техническое обслуживание, размещённого в серверном помещении оборудования, обеспечить идентификацию лица, имеющего доступ.</w:t>
      </w:r>
    </w:p>
    <w:p>
      <w:pPr>
        <w:ind w:left="567"/>
        <w:jc w:val="both"/>
        <w:rPr>
          <w:bCs/>
          <w:szCs w:val="24"/>
          <w:lang w:eastAsia="ru-RU"/>
        </w:rPr>
      </w:pPr>
    </w:p>
    <w:p>
      <w:pPr>
        <w:ind w:left="567"/>
        <w:jc w:val="both"/>
        <w:rPr>
          <w:bCs/>
          <w:szCs w:val="24"/>
          <w:lang w:eastAsia="ru-RU"/>
        </w:rPr>
      </w:pPr>
      <w:r>
        <w:rPr>
          <w:bCs/>
          <w:szCs w:val="24"/>
          <w:lang w:eastAsia="ru-RU"/>
        </w:rPr>
        <w:t xml:space="preserve">Технические средства </w:t>
      </w:r>
      <w:r>
        <w:rPr>
          <w:iCs/>
          <w:szCs w:val="24"/>
          <w:lang w:eastAsia="ru-RU"/>
        </w:rPr>
        <w:t>СКУД</w:t>
      </w:r>
      <w:r>
        <w:rPr>
          <w:bCs/>
          <w:szCs w:val="24"/>
          <w:lang w:eastAsia="ru-RU"/>
        </w:rPr>
        <w:t xml:space="preserve"> должны обеспечивать:</w:t>
      </w:r>
    </w:p>
    <w:p>
      <w:pPr>
        <w:numPr>
          <w:ilvl w:val="1"/>
          <w:numId w:val="18"/>
        </w:numPr>
        <w:tabs>
          <w:tab w:val="clear" w:pos="1440"/>
          <w:tab w:val="num" w:pos="539"/>
        </w:tabs>
        <w:spacing w:before="120"/>
        <w:ind w:left="896" w:hanging="357"/>
        <w:jc w:val="both"/>
        <w:rPr>
          <w:szCs w:val="24"/>
        </w:rPr>
      </w:pPr>
      <w:r>
        <w:t>доступ работников в серверные помещения, в зоны и выделенные внутренние помещения серверных в соответствии с определенными правами доступа;</w:t>
      </w:r>
    </w:p>
    <w:p>
      <w:pPr>
        <w:numPr>
          <w:ilvl w:val="1"/>
          <w:numId w:val="18"/>
        </w:numPr>
        <w:tabs>
          <w:tab w:val="clear" w:pos="1440"/>
          <w:tab w:val="num" w:pos="539"/>
        </w:tabs>
        <w:spacing w:before="120"/>
        <w:ind w:left="896" w:hanging="357"/>
        <w:jc w:val="both"/>
        <w:rPr>
          <w:szCs w:val="24"/>
        </w:rPr>
      </w:pPr>
      <w:r>
        <w:t xml:space="preserve">выдачу сигналов тревоги в </w:t>
      </w:r>
      <w:r>
        <w:rPr>
          <w:bCs/>
          <w:szCs w:val="24"/>
          <w:lang w:eastAsia="ru-RU"/>
        </w:rPr>
        <w:t>помещение круглосуточной охраны</w:t>
      </w:r>
      <w:r>
        <w:t xml:space="preserve"> и в систему диспетчерского управления в случае несанкционированного проникновения в зоны доступа и выделенные помещения;</w:t>
      </w:r>
    </w:p>
    <w:p>
      <w:pPr>
        <w:numPr>
          <w:ilvl w:val="1"/>
          <w:numId w:val="18"/>
        </w:numPr>
        <w:tabs>
          <w:tab w:val="clear" w:pos="1440"/>
          <w:tab w:val="num" w:pos="539"/>
        </w:tabs>
        <w:spacing w:before="120"/>
        <w:ind w:left="896" w:hanging="357"/>
        <w:jc w:val="both"/>
        <w:rPr>
          <w:szCs w:val="24"/>
        </w:rPr>
      </w:pPr>
      <w:r>
        <w:rPr>
          <w:szCs w:val="24"/>
        </w:rPr>
        <w:t>отображение состояния подсистемы и выдачу сигналов (наличие тревог, нештатных ситуаций; оперативной информации, например, «Автоматика включена/выключена»);</w:t>
      </w:r>
    </w:p>
    <w:p>
      <w:pPr>
        <w:numPr>
          <w:ilvl w:val="1"/>
          <w:numId w:val="18"/>
        </w:numPr>
        <w:tabs>
          <w:tab w:val="clear" w:pos="1440"/>
          <w:tab w:val="num" w:pos="539"/>
        </w:tabs>
        <w:spacing w:before="120"/>
        <w:ind w:left="896" w:hanging="357"/>
        <w:jc w:val="both"/>
        <w:rPr>
          <w:szCs w:val="24"/>
        </w:rPr>
      </w:pPr>
      <w:r>
        <w:rPr>
          <w:szCs w:val="24"/>
        </w:rPr>
        <w:t>ведение протоколов (архивов) событий телекоммуникационной безопасности;</w:t>
      </w:r>
    </w:p>
    <w:p>
      <w:pPr>
        <w:numPr>
          <w:ilvl w:val="1"/>
          <w:numId w:val="18"/>
        </w:numPr>
        <w:tabs>
          <w:tab w:val="clear" w:pos="1440"/>
          <w:tab w:val="num" w:pos="539"/>
        </w:tabs>
        <w:spacing w:before="120"/>
        <w:ind w:left="896" w:hanging="357"/>
        <w:jc w:val="both"/>
        <w:rPr>
          <w:szCs w:val="24"/>
        </w:rPr>
      </w:pPr>
      <w:r>
        <w:t xml:space="preserve">защиту от преднамеренного искажения или уничтожения </w:t>
      </w:r>
      <w:r>
        <w:rPr>
          <w:szCs w:val="24"/>
        </w:rPr>
        <w:t>протоколов (архивов)</w:t>
      </w:r>
      <w:r>
        <w:t xml:space="preserve"> событий </w:t>
      </w:r>
      <w:r>
        <w:rPr>
          <w:szCs w:val="24"/>
        </w:rPr>
        <w:t>телекоммуникационной безопасности</w:t>
      </w:r>
      <w:r>
        <w:t>;</w:t>
      </w:r>
    </w:p>
    <w:p>
      <w:pPr>
        <w:numPr>
          <w:ilvl w:val="1"/>
          <w:numId w:val="18"/>
        </w:numPr>
        <w:tabs>
          <w:tab w:val="clear" w:pos="1440"/>
          <w:tab w:val="num" w:pos="539"/>
        </w:tabs>
        <w:spacing w:before="120"/>
        <w:ind w:left="896" w:hanging="357"/>
        <w:jc w:val="both"/>
        <w:rPr>
          <w:szCs w:val="24"/>
        </w:rPr>
      </w:pPr>
      <w:r>
        <w:rPr>
          <w:szCs w:val="24"/>
        </w:rPr>
        <w:lastRenderedPageBreak/>
        <w:t xml:space="preserve">перевод на ручное управление отдельных элементов СКУД с возможностью </w:t>
      </w:r>
      <w:r>
        <w:t>блокирования доступа при возникновении нештатных ситуаций и деблокирования при необходимости обеспечить эвакуацию работников;</w:t>
      </w:r>
    </w:p>
    <w:p>
      <w:pPr>
        <w:numPr>
          <w:ilvl w:val="1"/>
          <w:numId w:val="18"/>
        </w:numPr>
        <w:tabs>
          <w:tab w:val="clear" w:pos="1440"/>
          <w:tab w:val="num" w:pos="539"/>
        </w:tabs>
        <w:spacing w:before="120"/>
        <w:ind w:left="896" w:hanging="357"/>
        <w:jc w:val="both"/>
        <w:rPr>
          <w:szCs w:val="24"/>
        </w:rPr>
      </w:pPr>
      <w:r>
        <w:t xml:space="preserve">возможность автономной работы с сохранением основных функций (сохранение прав доступа всех зарегистрированных пользователей, сохранение и накопление протокола событий </w:t>
      </w:r>
      <w:r>
        <w:rPr>
          <w:szCs w:val="24"/>
        </w:rPr>
        <w:t>телекоммуникационной безопасности</w:t>
      </w:r>
      <w:r>
        <w:t xml:space="preserve"> и др.) в случае долговременного или кратковременного отсутствия электропитания</w:t>
      </w:r>
      <w:r>
        <w:rPr>
          <w:szCs w:val="24"/>
        </w:rPr>
        <w:t>.</w:t>
      </w:r>
    </w:p>
    <w:p>
      <w:pPr>
        <w:pStyle w:val="S4"/>
        <w:widowControl/>
      </w:pPr>
    </w:p>
    <w:p>
      <w:pPr>
        <w:pStyle w:val="S4"/>
        <w:widowControl/>
        <w:ind w:left="567"/>
      </w:pPr>
      <w:r>
        <w:rPr>
          <w:iCs/>
        </w:rPr>
        <w:t>СКУД</w:t>
      </w:r>
      <w:r>
        <w:t xml:space="preserve"> должна быть интегрирована в общую систему управления системой безопасности.</w:t>
      </w:r>
    </w:p>
    <w:p>
      <w:pPr>
        <w:pStyle w:val="S4"/>
        <w:widowControl/>
        <w:ind w:left="567"/>
      </w:pPr>
    </w:p>
    <w:p>
      <w:pPr>
        <w:pStyle w:val="S4"/>
        <w:widowControl/>
        <w:ind w:left="567"/>
      </w:pPr>
      <w:r>
        <w:t xml:space="preserve">Для </w:t>
      </w:r>
      <w:r>
        <w:rPr>
          <w:bCs/>
        </w:rPr>
        <w:t>блокирования</w:t>
      </w:r>
      <w:r>
        <w:t xml:space="preserve"> доступа в помещение применяются:</w:t>
      </w:r>
    </w:p>
    <w:p>
      <w:pPr>
        <w:numPr>
          <w:ilvl w:val="1"/>
          <w:numId w:val="18"/>
        </w:numPr>
        <w:tabs>
          <w:tab w:val="clear" w:pos="1440"/>
          <w:tab w:val="num" w:pos="539"/>
        </w:tabs>
        <w:spacing w:before="120"/>
        <w:ind w:left="896" w:hanging="357"/>
        <w:jc w:val="both"/>
      </w:pPr>
      <w:r>
        <w:t>механические замки;</w:t>
      </w:r>
    </w:p>
    <w:p>
      <w:pPr>
        <w:numPr>
          <w:ilvl w:val="1"/>
          <w:numId w:val="18"/>
        </w:numPr>
        <w:tabs>
          <w:tab w:val="clear" w:pos="1440"/>
          <w:tab w:val="num" w:pos="539"/>
        </w:tabs>
        <w:spacing w:before="120"/>
        <w:ind w:left="896" w:hanging="357"/>
        <w:jc w:val="both"/>
      </w:pPr>
      <w:r>
        <w:t>электромеханические замки;</w:t>
      </w:r>
    </w:p>
    <w:p>
      <w:pPr>
        <w:numPr>
          <w:ilvl w:val="1"/>
          <w:numId w:val="18"/>
        </w:numPr>
        <w:tabs>
          <w:tab w:val="clear" w:pos="1440"/>
          <w:tab w:val="num" w:pos="539"/>
        </w:tabs>
        <w:spacing w:before="120"/>
        <w:ind w:left="896" w:hanging="357"/>
        <w:jc w:val="both"/>
      </w:pPr>
      <w:r>
        <w:t>электромагнитные замки;</w:t>
      </w:r>
    </w:p>
    <w:p>
      <w:pPr>
        <w:numPr>
          <w:ilvl w:val="1"/>
          <w:numId w:val="18"/>
        </w:numPr>
        <w:tabs>
          <w:tab w:val="clear" w:pos="1440"/>
          <w:tab w:val="num" w:pos="539"/>
        </w:tabs>
        <w:spacing w:before="120"/>
        <w:ind w:left="896" w:hanging="357"/>
        <w:jc w:val="both"/>
      </w:pPr>
      <w:r>
        <w:t>комбинация вышеперечисленных средств.</w:t>
      </w:r>
    </w:p>
    <w:p>
      <w:pPr>
        <w:pStyle w:val="S4"/>
        <w:widowControl/>
      </w:pPr>
    </w:p>
    <w:p>
      <w:pPr>
        <w:pStyle w:val="S4"/>
        <w:widowControl/>
        <w:ind w:left="567"/>
        <w:rPr>
          <w:bCs/>
        </w:rPr>
      </w:pPr>
      <w:r>
        <w:rPr>
          <w:bCs/>
        </w:rPr>
        <w:t>Для идентификации допущенных лиц применяются:</w:t>
      </w:r>
    </w:p>
    <w:p>
      <w:pPr>
        <w:numPr>
          <w:ilvl w:val="1"/>
          <w:numId w:val="18"/>
        </w:numPr>
        <w:tabs>
          <w:tab w:val="clear" w:pos="1440"/>
          <w:tab w:val="num" w:pos="539"/>
        </w:tabs>
        <w:spacing w:before="120"/>
        <w:ind w:left="896" w:hanging="357"/>
        <w:jc w:val="both"/>
      </w:pPr>
      <w:r>
        <w:t>кодонаборные панели;</w:t>
      </w:r>
    </w:p>
    <w:p>
      <w:pPr>
        <w:numPr>
          <w:ilvl w:val="1"/>
          <w:numId w:val="18"/>
        </w:numPr>
        <w:tabs>
          <w:tab w:val="clear" w:pos="1440"/>
          <w:tab w:val="num" w:pos="539"/>
        </w:tabs>
        <w:spacing w:before="120"/>
        <w:ind w:left="896" w:hanging="357"/>
        <w:jc w:val="both"/>
      </w:pPr>
      <w:r>
        <w:t>карты и метки электронной идентификации;</w:t>
      </w:r>
    </w:p>
    <w:p>
      <w:pPr>
        <w:numPr>
          <w:ilvl w:val="1"/>
          <w:numId w:val="18"/>
        </w:numPr>
        <w:tabs>
          <w:tab w:val="clear" w:pos="1440"/>
          <w:tab w:val="num" w:pos="539"/>
        </w:tabs>
        <w:spacing w:before="120"/>
        <w:ind w:left="896" w:hanging="357"/>
        <w:jc w:val="both"/>
      </w:pPr>
      <w:r>
        <w:t>отдельные биометрические признаки человека;</w:t>
      </w:r>
    </w:p>
    <w:p>
      <w:pPr>
        <w:numPr>
          <w:ilvl w:val="1"/>
          <w:numId w:val="18"/>
        </w:numPr>
        <w:tabs>
          <w:tab w:val="clear" w:pos="1440"/>
          <w:tab w:val="num" w:pos="539"/>
        </w:tabs>
        <w:spacing w:before="120"/>
        <w:ind w:left="896" w:hanging="357"/>
        <w:jc w:val="both"/>
      </w:pPr>
      <w:r>
        <w:t>комбинация вышеперечисленных методов.</w:t>
      </w:r>
    </w:p>
    <w:p>
      <w:pPr>
        <w:jc w:val="both"/>
        <w:rPr>
          <w:iCs/>
          <w:szCs w:val="24"/>
          <w:lang w:eastAsia="ru-RU"/>
        </w:rPr>
      </w:pPr>
    </w:p>
    <w:p>
      <w:pPr>
        <w:numPr>
          <w:ilvl w:val="0"/>
          <w:numId w:val="2"/>
        </w:numPr>
        <w:tabs>
          <w:tab w:val="num" w:pos="540"/>
        </w:tabs>
        <w:spacing w:before="120"/>
        <w:ind w:left="538" w:hanging="357"/>
        <w:jc w:val="both"/>
        <w:rPr>
          <w:iCs/>
          <w:szCs w:val="24"/>
          <w:lang w:eastAsia="ru-RU"/>
        </w:rPr>
      </w:pPr>
      <w:r>
        <w:rPr>
          <w:bCs/>
          <w:szCs w:val="24"/>
          <w:lang w:eastAsia="ru-RU"/>
        </w:rPr>
        <w:t>СОС</w:t>
      </w:r>
    </w:p>
    <w:p>
      <w:pPr>
        <w:pStyle w:val="S4"/>
        <w:widowControl/>
        <w:ind w:left="567"/>
      </w:pPr>
    </w:p>
    <w:p>
      <w:pPr>
        <w:pStyle w:val="S4"/>
        <w:widowControl/>
        <w:ind w:left="567"/>
        <w:rPr>
          <w:bCs/>
        </w:rPr>
      </w:pPr>
      <w:r>
        <w:rPr>
          <w:bCs/>
        </w:rPr>
        <w:t xml:space="preserve">СОС должна быть реализована в рамках единой системы охранной сигнализации с возможностью осуществления централизованного мониторинга и управления. Сигналы оповещения выводятся в помещение круглосуточной охраны. Сигналы оповещения могут дополнительно доставляться по телефону, с помощью </w:t>
      </w:r>
      <w:r>
        <w:rPr>
          <w:bCs/>
          <w:lang w:val="en-US"/>
        </w:rPr>
        <w:t>SMS</w:t>
      </w:r>
      <w:r>
        <w:rPr>
          <w:bCs/>
        </w:rPr>
        <w:t>.</w:t>
      </w:r>
    </w:p>
    <w:p>
      <w:pPr>
        <w:pStyle w:val="S4"/>
        <w:widowControl/>
        <w:ind w:left="567"/>
        <w:rPr>
          <w:bCs/>
        </w:rPr>
      </w:pPr>
    </w:p>
    <w:p>
      <w:pPr>
        <w:pStyle w:val="S4"/>
        <w:widowControl/>
        <w:ind w:left="567"/>
        <w:rPr>
          <w:bCs/>
        </w:rPr>
      </w:pPr>
      <w:r>
        <w:rPr>
          <w:bCs/>
        </w:rPr>
        <w:t>Контролю и охране подлежат все входы и выходы серверного помещения, объем помещения, оконные проемы (если они есть).</w:t>
      </w:r>
    </w:p>
    <w:p>
      <w:pPr>
        <w:pStyle w:val="S4"/>
        <w:widowControl/>
        <w:ind w:left="567"/>
        <w:rPr>
          <w:bCs/>
        </w:rPr>
      </w:pPr>
    </w:p>
    <w:p>
      <w:pPr>
        <w:pStyle w:val="S4"/>
        <w:widowControl/>
        <w:ind w:left="567"/>
        <w:rPr>
          <w:bCs/>
        </w:rPr>
      </w:pPr>
      <w:r>
        <w:rPr>
          <w:bCs/>
        </w:rPr>
        <w:t>СОС должна иметь отдельный собственный выделенный источник питания с резервированием.</w:t>
      </w:r>
    </w:p>
    <w:p>
      <w:pPr>
        <w:pStyle w:val="S4"/>
        <w:widowControl/>
        <w:ind w:left="567"/>
        <w:rPr>
          <w:bCs/>
        </w:rPr>
      </w:pPr>
    </w:p>
    <w:p>
      <w:pPr>
        <w:numPr>
          <w:ilvl w:val="0"/>
          <w:numId w:val="2"/>
        </w:numPr>
        <w:tabs>
          <w:tab w:val="num" w:pos="540"/>
        </w:tabs>
        <w:ind w:left="538" w:hanging="357"/>
        <w:jc w:val="both"/>
        <w:rPr>
          <w:iCs/>
          <w:szCs w:val="24"/>
          <w:lang w:eastAsia="ru-RU"/>
        </w:rPr>
      </w:pPr>
      <w:bookmarkStart w:id="106" w:name="_Toc142735145"/>
      <w:r>
        <w:rPr>
          <w:szCs w:val="24"/>
        </w:rPr>
        <w:t>СОТ</w:t>
      </w:r>
    </w:p>
    <w:bookmarkEnd w:id="106"/>
    <w:p>
      <w:pPr>
        <w:pStyle w:val="S4"/>
        <w:widowControl/>
        <w:ind w:left="567"/>
      </w:pPr>
    </w:p>
    <w:p>
      <w:pPr>
        <w:pStyle w:val="S4"/>
        <w:widowControl/>
        <w:ind w:left="567"/>
      </w:pPr>
      <w:r>
        <w:t>СОТ предназначена для визуального наблюдения и фиксации текущей обстановки в серверном помещении и обеспечивает передачу визуальной информации в специально выделенное помещение охраны, которое может быть единым в рамках организации системы обеспечения безопасности.</w:t>
      </w:r>
    </w:p>
    <w:p>
      <w:pPr>
        <w:pStyle w:val="S4"/>
        <w:widowControl/>
        <w:ind w:left="567"/>
      </w:pPr>
    </w:p>
    <w:p>
      <w:pPr>
        <w:pStyle w:val="S4"/>
        <w:widowControl/>
        <w:ind w:left="567"/>
      </w:pPr>
      <w:r>
        <w:t>СОТ должна обеспечивать:</w:t>
      </w:r>
    </w:p>
    <w:p>
      <w:pPr>
        <w:numPr>
          <w:ilvl w:val="1"/>
          <w:numId w:val="18"/>
        </w:numPr>
        <w:tabs>
          <w:tab w:val="clear" w:pos="1440"/>
          <w:tab w:val="num" w:pos="539"/>
        </w:tabs>
        <w:spacing w:before="120"/>
        <w:ind w:left="896" w:hanging="357"/>
        <w:jc w:val="both"/>
      </w:pPr>
      <w:r>
        <w:t>защиту от НСД к видеоинформации;</w:t>
      </w:r>
    </w:p>
    <w:p>
      <w:pPr>
        <w:numPr>
          <w:ilvl w:val="1"/>
          <w:numId w:val="18"/>
        </w:numPr>
        <w:tabs>
          <w:tab w:val="clear" w:pos="1440"/>
          <w:tab w:val="num" w:pos="539"/>
        </w:tabs>
        <w:spacing w:before="120"/>
        <w:ind w:left="896" w:hanging="357"/>
        <w:jc w:val="both"/>
      </w:pPr>
      <w:r>
        <w:lastRenderedPageBreak/>
        <w:t>приоритетное отображение на мониторе оператора и запись видеоинформации из той зоны наблюдения, в которой произошло срабатывание извещателя СОС;</w:t>
      </w:r>
    </w:p>
    <w:p>
      <w:pPr>
        <w:numPr>
          <w:ilvl w:val="1"/>
          <w:numId w:val="18"/>
        </w:numPr>
        <w:tabs>
          <w:tab w:val="clear" w:pos="1440"/>
          <w:tab w:val="num" w:pos="539"/>
        </w:tabs>
        <w:spacing w:before="120"/>
        <w:ind w:left="896" w:hanging="357"/>
        <w:jc w:val="both"/>
      </w:pPr>
      <w:r>
        <w:t>возможность выдачи сигнала тревоги и приоритетной видеозаписи при возникновении изменений в зоне наблюдения отдельных телекамер.</w:t>
      </w:r>
    </w:p>
    <w:p>
      <w:pPr>
        <w:pStyle w:val="S4"/>
        <w:widowControl/>
      </w:pPr>
    </w:p>
    <w:p>
      <w:pPr>
        <w:ind w:left="567"/>
        <w:jc w:val="both"/>
      </w:pPr>
      <w:r>
        <w:rPr>
          <w:bCs/>
          <w:szCs w:val="24"/>
          <w:lang w:eastAsia="ru-RU"/>
        </w:rPr>
        <w:t xml:space="preserve">Камеры необходимо разместить таким образом, чтобы контролировать входы и выходы в помещение, пространство возле технологического оборудования (ИБП, кондиционеры, серверные шкафы и телекоммуникационные стойки). </w:t>
      </w:r>
      <w:r>
        <w:t>Оборудование СОТ должно быть физически защищено от повреждения и возможности отключения электропитания.</w:t>
      </w:r>
    </w:p>
    <w:p>
      <w:pPr>
        <w:ind w:left="567"/>
        <w:jc w:val="both"/>
        <w:rPr>
          <w:bCs/>
          <w:szCs w:val="24"/>
          <w:lang w:eastAsia="ru-RU"/>
        </w:rPr>
      </w:pPr>
    </w:p>
    <w:p>
      <w:pPr>
        <w:ind w:left="567"/>
        <w:jc w:val="both"/>
        <w:rPr>
          <w:bCs/>
          <w:szCs w:val="24"/>
          <w:lang w:eastAsia="ru-RU"/>
        </w:rPr>
      </w:pPr>
      <w:r>
        <w:rPr>
          <w:bCs/>
          <w:szCs w:val="24"/>
          <w:lang w:eastAsia="ru-RU"/>
        </w:rPr>
        <w:t>Разрешения видеокамер должно быть достаточным, чтобы уверенно различать лица работников, обслуживающих технологическое оборудование и должно быть определено в документации при разработке.</w:t>
      </w:r>
    </w:p>
    <w:p>
      <w:pPr>
        <w:ind w:left="567"/>
        <w:jc w:val="both"/>
        <w:rPr>
          <w:bCs/>
          <w:szCs w:val="24"/>
          <w:lang w:eastAsia="ru-RU"/>
        </w:rPr>
      </w:pPr>
    </w:p>
    <w:p>
      <w:pPr>
        <w:ind w:left="567"/>
        <w:jc w:val="both"/>
      </w:pPr>
      <w:r>
        <w:t>Объем видеоархива серверного помещения должен быть не менее 30 суток.</w:t>
      </w:r>
    </w:p>
    <w:p>
      <w:pPr>
        <w:ind w:left="567"/>
        <w:jc w:val="both"/>
        <w:rPr>
          <w:bCs/>
          <w:szCs w:val="24"/>
          <w:lang w:eastAsia="ru-RU"/>
        </w:rPr>
      </w:pPr>
    </w:p>
    <w:p>
      <w:pPr>
        <w:numPr>
          <w:ilvl w:val="0"/>
          <w:numId w:val="2"/>
        </w:numPr>
        <w:tabs>
          <w:tab w:val="num" w:pos="540"/>
        </w:tabs>
        <w:ind w:left="538" w:hanging="357"/>
        <w:jc w:val="both"/>
        <w:rPr>
          <w:iCs/>
          <w:szCs w:val="24"/>
          <w:lang w:eastAsia="ru-RU"/>
        </w:rPr>
      </w:pPr>
      <w:r>
        <w:rPr>
          <w:iCs/>
          <w:szCs w:val="24"/>
          <w:lang w:eastAsia="ru-RU"/>
        </w:rPr>
        <w:t>ППС</w:t>
      </w:r>
    </w:p>
    <w:p>
      <w:pPr>
        <w:ind w:left="567"/>
        <w:jc w:val="both"/>
        <w:rPr>
          <w:bCs/>
          <w:szCs w:val="24"/>
          <w:lang w:eastAsia="ru-RU"/>
        </w:rPr>
      </w:pPr>
    </w:p>
    <w:p>
      <w:pPr>
        <w:ind w:left="567"/>
        <w:jc w:val="both"/>
        <w:rPr>
          <w:bCs/>
          <w:szCs w:val="24"/>
          <w:lang w:eastAsia="ru-RU"/>
        </w:rPr>
      </w:pPr>
      <w:r>
        <w:rPr>
          <w:bCs/>
          <w:szCs w:val="24"/>
          <w:lang w:eastAsia="ru-RU"/>
        </w:rPr>
        <w:t>ППС серверного помещения должна быть выполнена отдельно от пожарной сигнализации здания.</w:t>
      </w:r>
    </w:p>
    <w:p>
      <w:pPr>
        <w:ind w:left="567"/>
        <w:jc w:val="both"/>
        <w:rPr>
          <w:bCs/>
          <w:szCs w:val="24"/>
          <w:lang w:eastAsia="ru-RU"/>
        </w:rPr>
      </w:pPr>
    </w:p>
    <w:p>
      <w:pPr>
        <w:ind w:left="567"/>
        <w:jc w:val="both"/>
        <w:rPr>
          <w:bCs/>
          <w:szCs w:val="24"/>
          <w:lang w:eastAsia="ru-RU"/>
        </w:rPr>
      </w:pPr>
      <w:r>
        <w:rPr>
          <w:bCs/>
          <w:szCs w:val="24"/>
          <w:lang w:eastAsia="ru-RU"/>
        </w:rPr>
        <w:t>В серверном помещении должны быть установлены два типа извещателей: температурные и дымовые.</w:t>
      </w:r>
    </w:p>
    <w:p>
      <w:pPr>
        <w:ind w:left="567"/>
        <w:jc w:val="both"/>
        <w:rPr>
          <w:bCs/>
          <w:szCs w:val="24"/>
          <w:lang w:eastAsia="ru-RU"/>
        </w:rPr>
      </w:pPr>
    </w:p>
    <w:p>
      <w:pPr>
        <w:ind w:left="567"/>
        <w:jc w:val="both"/>
      </w:pPr>
      <w:r>
        <w:rPr>
          <w:bCs/>
          <w:szCs w:val="24"/>
          <w:lang w:eastAsia="ru-RU"/>
        </w:rPr>
        <w:t xml:space="preserve">Извещатели должны контролировать как общее пространство помещений, так и полости, образованные фальшполом и фальшпотолком и </w:t>
      </w:r>
      <w:r>
        <w:t>обеспечивать:</w:t>
      </w:r>
    </w:p>
    <w:p>
      <w:pPr>
        <w:numPr>
          <w:ilvl w:val="1"/>
          <w:numId w:val="18"/>
        </w:numPr>
        <w:tabs>
          <w:tab w:val="clear" w:pos="1440"/>
          <w:tab w:val="num" w:pos="539"/>
        </w:tabs>
        <w:spacing w:before="120"/>
        <w:ind w:left="896" w:hanging="357"/>
        <w:jc w:val="both"/>
      </w:pPr>
      <w:r>
        <w:t>круглосуточный контроль температуры и присутствие задымленности в охраняемом помещении;</w:t>
      </w:r>
    </w:p>
    <w:p>
      <w:pPr>
        <w:numPr>
          <w:ilvl w:val="1"/>
          <w:numId w:val="18"/>
        </w:numPr>
        <w:tabs>
          <w:tab w:val="clear" w:pos="1440"/>
          <w:tab w:val="num" w:pos="539"/>
        </w:tabs>
        <w:spacing w:before="120"/>
        <w:ind w:left="896" w:hanging="357"/>
        <w:jc w:val="both"/>
      </w:pPr>
      <w:r>
        <w:t>срабатывание звукового и светового оповещения;</w:t>
      </w:r>
    </w:p>
    <w:p>
      <w:pPr>
        <w:numPr>
          <w:ilvl w:val="1"/>
          <w:numId w:val="18"/>
        </w:numPr>
        <w:tabs>
          <w:tab w:val="clear" w:pos="1440"/>
          <w:tab w:val="num" w:pos="539"/>
        </w:tabs>
        <w:spacing w:before="120"/>
        <w:ind w:left="896" w:hanging="357"/>
        <w:jc w:val="both"/>
      </w:pPr>
      <w:r>
        <w:t>выдачу сигнала «тревога» в помещение круглосуточной охраны;</w:t>
      </w:r>
    </w:p>
    <w:p>
      <w:pPr>
        <w:numPr>
          <w:ilvl w:val="1"/>
          <w:numId w:val="18"/>
        </w:numPr>
        <w:tabs>
          <w:tab w:val="clear" w:pos="1440"/>
          <w:tab w:val="num" w:pos="539"/>
        </w:tabs>
        <w:spacing w:before="120"/>
        <w:ind w:left="896" w:hanging="357"/>
        <w:jc w:val="both"/>
      </w:pPr>
      <w:r>
        <w:t>автоматическое закрытие огнесдерживающих клапанов и дверей;</w:t>
      </w:r>
    </w:p>
    <w:p>
      <w:pPr>
        <w:numPr>
          <w:ilvl w:val="1"/>
          <w:numId w:val="18"/>
        </w:numPr>
        <w:tabs>
          <w:tab w:val="clear" w:pos="1440"/>
          <w:tab w:val="num" w:pos="539"/>
        </w:tabs>
        <w:spacing w:before="120"/>
        <w:ind w:left="896" w:hanging="357"/>
        <w:jc w:val="both"/>
      </w:pPr>
      <w:r>
        <w:t>автоматическое включение систем дымоудаления;</w:t>
      </w:r>
    </w:p>
    <w:p>
      <w:pPr>
        <w:numPr>
          <w:ilvl w:val="1"/>
          <w:numId w:val="18"/>
        </w:numPr>
        <w:tabs>
          <w:tab w:val="clear" w:pos="1440"/>
          <w:tab w:val="num" w:pos="539"/>
        </w:tabs>
        <w:spacing w:before="120"/>
        <w:ind w:left="896" w:hanging="357"/>
        <w:jc w:val="both"/>
      </w:pPr>
      <w:r>
        <w:t>автоматическую подачу вещества ПГП;</w:t>
      </w:r>
    </w:p>
    <w:p>
      <w:pPr>
        <w:numPr>
          <w:ilvl w:val="1"/>
          <w:numId w:val="18"/>
        </w:numPr>
        <w:tabs>
          <w:tab w:val="clear" w:pos="1440"/>
          <w:tab w:val="num" w:pos="539"/>
        </w:tabs>
        <w:spacing w:before="120"/>
        <w:ind w:left="896" w:hanging="357"/>
        <w:jc w:val="both"/>
      </w:pPr>
      <w:r>
        <w:t>оповещение о подаче вещества ПГП.</w:t>
      </w:r>
    </w:p>
    <w:p>
      <w:pPr>
        <w:pStyle w:val="S4"/>
        <w:widowControl/>
        <w:ind w:left="567"/>
      </w:pPr>
    </w:p>
    <w:p>
      <w:pPr>
        <w:ind w:left="567"/>
        <w:jc w:val="both"/>
        <w:rPr>
          <w:bCs/>
          <w:szCs w:val="24"/>
          <w:lang w:eastAsia="ru-RU"/>
        </w:rPr>
      </w:pPr>
      <w:r>
        <w:rPr>
          <w:bCs/>
          <w:szCs w:val="24"/>
          <w:lang w:eastAsia="ru-RU"/>
        </w:rPr>
        <w:t>Сигналы оповещения ППС выводятся на отдельный пульт в помещение круглосуточной охраны.</w:t>
      </w:r>
    </w:p>
    <w:p>
      <w:pPr>
        <w:ind w:left="567"/>
        <w:jc w:val="both"/>
        <w:rPr>
          <w:bCs/>
          <w:szCs w:val="24"/>
          <w:lang w:eastAsia="ru-RU"/>
        </w:rPr>
      </w:pPr>
    </w:p>
    <w:p>
      <w:pPr>
        <w:ind w:left="567"/>
        <w:jc w:val="both"/>
        <w:rPr>
          <w:bCs/>
          <w:szCs w:val="24"/>
          <w:lang w:eastAsia="ru-RU"/>
        </w:rPr>
      </w:pPr>
      <w:r>
        <w:rPr>
          <w:bCs/>
          <w:szCs w:val="24"/>
          <w:lang w:eastAsia="ru-RU"/>
        </w:rPr>
        <w:t>ППС может быть объединена с СОС серверного помещения.</w:t>
      </w:r>
    </w:p>
    <w:p>
      <w:pPr>
        <w:ind w:left="567"/>
        <w:jc w:val="both"/>
        <w:rPr>
          <w:bCs/>
          <w:szCs w:val="24"/>
          <w:lang w:eastAsia="ru-RU"/>
        </w:rPr>
      </w:pPr>
    </w:p>
    <w:p>
      <w:pPr>
        <w:numPr>
          <w:ilvl w:val="0"/>
          <w:numId w:val="2"/>
        </w:numPr>
        <w:tabs>
          <w:tab w:val="num" w:pos="540"/>
        </w:tabs>
        <w:ind w:left="538" w:hanging="357"/>
        <w:jc w:val="both"/>
        <w:rPr>
          <w:iCs/>
          <w:szCs w:val="24"/>
          <w:lang w:eastAsia="ru-RU"/>
        </w:rPr>
      </w:pPr>
      <w:r>
        <w:rPr>
          <w:iCs/>
          <w:szCs w:val="24"/>
          <w:lang w:eastAsia="ru-RU"/>
        </w:rPr>
        <w:t>ПГП</w:t>
      </w:r>
    </w:p>
    <w:p>
      <w:pPr>
        <w:pStyle w:val="S4"/>
        <w:widowControl/>
        <w:ind w:left="567"/>
      </w:pPr>
    </w:p>
    <w:p>
      <w:pPr>
        <w:ind w:left="567"/>
        <w:jc w:val="both"/>
        <w:rPr>
          <w:bCs/>
          <w:szCs w:val="24"/>
          <w:lang w:eastAsia="ru-RU"/>
        </w:rPr>
      </w:pPr>
      <w:r>
        <w:rPr>
          <w:bCs/>
          <w:szCs w:val="24"/>
          <w:lang w:eastAsia="ru-RU"/>
        </w:rPr>
        <w:t>Серверное помещение оборудуется АУГП, независимой от системы пожаротушения здания.</w:t>
      </w:r>
    </w:p>
    <w:p>
      <w:pPr>
        <w:ind w:left="567"/>
        <w:jc w:val="both"/>
        <w:rPr>
          <w:bCs/>
          <w:szCs w:val="24"/>
          <w:lang w:eastAsia="ru-RU"/>
        </w:rPr>
      </w:pPr>
    </w:p>
    <w:p>
      <w:pPr>
        <w:ind w:left="567"/>
        <w:jc w:val="both"/>
        <w:rPr>
          <w:bCs/>
          <w:szCs w:val="24"/>
          <w:lang w:eastAsia="ru-RU"/>
        </w:rPr>
      </w:pPr>
      <w:r>
        <w:rPr>
          <w:bCs/>
          <w:szCs w:val="24"/>
          <w:lang w:eastAsia="ru-RU"/>
        </w:rPr>
        <w:t>Модуль газового пожаротушения ПГП размещается непосредственно в серверном помещении (или вблизи) в специально оборудованном для этого шкафе.</w:t>
      </w:r>
    </w:p>
    <w:p>
      <w:pPr>
        <w:ind w:left="567"/>
        <w:jc w:val="both"/>
        <w:rPr>
          <w:bCs/>
          <w:szCs w:val="24"/>
          <w:lang w:eastAsia="ru-RU"/>
        </w:rPr>
      </w:pPr>
      <w:r>
        <w:rPr>
          <w:bCs/>
          <w:szCs w:val="24"/>
          <w:lang w:eastAsia="ru-RU"/>
        </w:rPr>
        <w:lastRenderedPageBreak/>
        <w:t>Запуск ПГП производится от датчиков раннего обнаружения пожара, реагирующих на появление дыма, а также ручных извещателей, расположенных у выхода из помещения.</w:t>
      </w:r>
    </w:p>
    <w:p>
      <w:pPr>
        <w:ind w:left="567"/>
        <w:jc w:val="both"/>
        <w:rPr>
          <w:bCs/>
          <w:szCs w:val="24"/>
          <w:lang w:eastAsia="ru-RU"/>
        </w:rPr>
      </w:pPr>
    </w:p>
    <w:p>
      <w:pPr>
        <w:ind w:left="567"/>
        <w:jc w:val="both"/>
        <w:rPr>
          <w:bCs/>
          <w:szCs w:val="24"/>
          <w:lang w:eastAsia="ru-RU"/>
        </w:rPr>
      </w:pPr>
      <w:r>
        <w:rPr>
          <w:bCs/>
          <w:szCs w:val="24"/>
          <w:lang w:eastAsia="ru-RU"/>
        </w:rPr>
        <w:t>ПГП должна иметь табло оповещения о срабатывании для работников, которое размещается внутри и снаружи серверного помещения.</w:t>
      </w:r>
    </w:p>
    <w:p>
      <w:pPr>
        <w:ind w:left="567"/>
        <w:jc w:val="both"/>
        <w:rPr>
          <w:bCs/>
          <w:szCs w:val="24"/>
          <w:lang w:eastAsia="ru-RU"/>
        </w:rPr>
      </w:pPr>
    </w:p>
    <w:p>
      <w:pPr>
        <w:ind w:left="567"/>
        <w:jc w:val="both"/>
        <w:rPr>
          <w:bCs/>
          <w:szCs w:val="24"/>
          <w:lang w:eastAsia="ru-RU"/>
        </w:rPr>
      </w:pPr>
      <w:r>
        <w:rPr>
          <w:bCs/>
          <w:szCs w:val="24"/>
          <w:lang w:eastAsia="ru-RU"/>
        </w:rPr>
        <w:t>ПГП должна обеспечивать подачу команд на закрытие защитных клапанов подсистемы вентиляции и отключение питания оборудования.</w:t>
      </w:r>
    </w:p>
    <w:p>
      <w:pPr>
        <w:numPr>
          <w:ilvl w:val="0"/>
          <w:numId w:val="2"/>
        </w:numPr>
        <w:tabs>
          <w:tab w:val="num" w:pos="540"/>
        </w:tabs>
        <w:spacing w:before="120"/>
        <w:ind w:left="538" w:hanging="357"/>
        <w:jc w:val="both"/>
        <w:rPr>
          <w:iCs/>
          <w:szCs w:val="24"/>
          <w:lang w:eastAsia="ru-RU"/>
        </w:rPr>
      </w:pPr>
      <w:r>
        <w:rPr>
          <w:iCs/>
          <w:szCs w:val="24"/>
          <w:lang w:eastAsia="ru-RU"/>
        </w:rPr>
        <w:t>ПГУ</w:t>
      </w:r>
    </w:p>
    <w:p>
      <w:pPr>
        <w:pStyle w:val="S4"/>
        <w:widowControl/>
      </w:pPr>
    </w:p>
    <w:p>
      <w:pPr>
        <w:pStyle w:val="S4"/>
        <w:widowControl/>
        <w:ind w:left="567"/>
        <w:rPr>
          <w:bCs/>
        </w:rPr>
      </w:pPr>
      <w:r>
        <w:rPr>
          <w:bCs/>
        </w:rPr>
        <w:t>ПГУ обеспечивает отвод дыма и газа из серверного помещения после срабатывания ПГП. Подсистема выполняется отдельно от системы вентиляции здания с выводом воздуховода на крышу здания. Подсистема должна обеспечивать отвод газовоздушной смеси в объеме, втрое превышающем объем серверного помещения. Допускается использование переносных дымососов.</w:t>
      </w:r>
    </w:p>
    <w:p>
      <w:pPr>
        <w:pStyle w:val="S4"/>
        <w:widowControl/>
        <w:rPr>
          <w:bCs/>
        </w:rPr>
      </w:pPr>
    </w:p>
    <w:p>
      <w:pPr>
        <w:pStyle w:val="S4"/>
        <w:widowControl/>
        <w:rPr>
          <w:bCs/>
        </w:rPr>
      </w:pPr>
      <w:r>
        <w:rPr>
          <w:bCs/>
        </w:rPr>
        <w:t>Для обеспечения технического обслуживания на подсистемы ПГП, ПГУ и ППС должны быть действующие договоры с подрядными организациями, имеющими соответствующие лицензии.</w:t>
      </w:r>
    </w:p>
    <w:p>
      <w:pPr>
        <w:pStyle w:val="S4"/>
        <w:widowControl/>
        <w:rPr>
          <w:bCs/>
        </w:rPr>
      </w:pPr>
    </w:p>
    <w:p>
      <w:pPr>
        <w:jc w:val="both"/>
        <w:rPr>
          <w:bCs/>
          <w:szCs w:val="24"/>
          <w:lang w:eastAsia="ru-RU"/>
        </w:rPr>
      </w:pPr>
      <w:r>
        <w:rPr>
          <w:bCs/>
          <w:szCs w:val="24"/>
          <w:lang w:eastAsia="ru-RU"/>
        </w:rPr>
        <w:t>7.3. Указанные в п. 7.1-7.2 настоящих Методических указаний требования предъявляются к оборудованию ЦОД, серверным, кроссовым помещениям и помещениям УПАТС, ОПТС, АТС.</w:t>
      </w:r>
    </w:p>
    <w:p>
      <w:pPr>
        <w:jc w:val="both"/>
        <w:rPr>
          <w:bCs/>
          <w:szCs w:val="24"/>
          <w:lang w:eastAsia="ru-RU"/>
        </w:rPr>
      </w:pPr>
    </w:p>
    <w:p>
      <w:pPr>
        <w:jc w:val="both"/>
        <w:rPr>
          <w:bCs/>
          <w:szCs w:val="24"/>
          <w:lang w:eastAsia="ru-RU"/>
        </w:rPr>
      </w:pPr>
      <w:r>
        <w:rPr>
          <w:bCs/>
          <w:szCs w:val="24"/>
          <w:lang w:eastAsia="ru-RU"/>
        </w:rPr>
        <w:t>ПГП и ПГУ не оборудуются помещения УПАТС, ОПТС, АТС и помещения, в которых оборудованы рабочие места работников телекоммуникационной инфраструктуры.</w:t>
      </w:r>
    </w:p>
    <w:p>
      <w:pPr>
        <w:jc w:val="both"/>
        <w:rPr>
          <w:bCs/>
          <w:szCs w:val="24"/>
          <w:lang w:eastAsia="ru-RU"/>
        </w:rPr>
      </w:pPr>
    </w:p>
    <w:p>
      <w:pPr>
        <w:jc w:val="both"/>
        <w:rPr>
          <w:bCs/>
          <w:szCs w:val="24"/>
          <w:lang w:eastAsia="ru-RU"/>
        </w:rPr>
      </w:pPr>
      <w:r>
        <w:rPr>
          <w:bCs/>
          <w:szCs w:val="24"/>
          <w:lang w:eastAsia="ru-RU"/>
        </w:rPr>
        <w:t>Во время нахождения персонала в помещениях необходимо отключать ПГП и ПГУ.</w:t>
      </w:r>
    </w:p>
    <w:p>
      <w:pPr>
        <w:jc w:val="both"/>
        <w:rPr>
          <w:bCs/>
          <w:szCs w:val="24"/>
          <w:lang w:eastAsia="ru-RU"/>
        </w:rPr>
      </w:pPr>
    </w:p>
    <w:p>
      <w:pPr>
        <w:jc w:val="both"/>
        <w:rPr>
          <w:bCs/>
          <w:szCs w:val="24"/>
          <w:lang w:eastAsia="ru-RU"/>
        </w:rPr>
      </w:pPr>
      <w:r>
        <w:rPr>
          <w:bCs/>
          <w:szCs w:val="24"/>
          <w:lang w:eastAsia="ru-RU"/>
        </w:rPr>
        <w:t>7.4. Подсистемы безопасности телекоммуникационной инфраструктуры не должны использовать коммуникационные возможности локальных вычислительных сетей, сетей телефонной связи, беспроводных сетей связи и сетей АСУ ТП. Подсистемы безопасности серверного помещения должны создаваться и использовать собственную сеть.</w:t>
      </w:r>
    </w:p>
    <w:p>
      <w:pPr>
        <w:jc w:val="both"/>
        <w:rPr>
          <w:bCs/>
          <w:szCs w:val="24"/>
          <w:lang w:eastAsia="ru-RU"/>
        </w:rPr>
      </w:pPr>
    </w:p>
    <w:p>
      <w:pPr>
        <w:jc w:val="both"/>
        <w:rPr>
          <w:bCs/>
          <w:szCs w:val="24"/>
          <w:lang w:eastAsia="ru-RU"/>
        </w:rPr>
      </w:pPr>
      <w:r>
        <w:rPr>
          <w:bCs/>
          <w:szCs w:val="24"/>
          <w:lang w:eastAsia="ru-RU"/>
        </w:rPr>
        <w:t xml:space="preserve">7.5. Приведенные в данном разделе и </w:t>
      </w:r>
      <w:hyperlink w:anchor="_ПРИЛОЖЕНИЕ_2._ТРЕБОВАНИЯ" w:history="1">
        <w:r>
          <w:rPr>
            <w:rStyle w:val="aa"/>
            <w:bCs/>
            <w:szCs w:val="24"/>
            <w:lang w:eastAsia="ru-RU"/>
          </w:rPr>
          <w:t>Приложении 2</w:t>
        </w:r>
      </w:hyperlink>
      <w:r>
        <w:rPr>
          <w:bCs/>
          <w:szCs w:val="24"/>
          <w:lang w:eastAsia="ru-RU"/>
        </w:rPr>
        <w:t xml:space="preserve"> требования, при их не реализации до настоящего времени, должны быть выполнены в рамках предстоящих модернизации и/или развития телекоммуникационной инфраструктуры.</w:t>
      </w:r>
    </w:p>
    <w:p>
      <w:pPr>
        <w:jc w:val="both"/>
        <w:rPr>
          <w:bCs/>
          <w:szCs w:val="24"/>
          <w:lang w:eastAsia="ru-RU"/>
        </w:rPr>
      </w:pPr>
    </w:p>
    <w:p>
      <w:pPr>
        <w:jc w:val="both"/>
        <w:rPr>
          <w:bCs/>
          <w:szCs w:val="24"/>
          <w:lang w:eastAsia="ru-RU"/>
        </w:rPr>
      </w:pPr>
      <w:bookmarkStart w:id="107" w:name="_Toc105827835"/>
      <w:bookmarkStart w:id="108" w:name="_Toc105829488"/>
      <w:bookmarkStart w:id="109" w:name="_Toc106105744"/>
      <w:bookmarkStart w:id="110" w:name="_Toc106715209"/>
      <w:bookmarkStart w:id="111" w:name="_Toc125284626"/>
      <w:bookmarkStart w:id="112" w:name="_Toc130184868"/>
      <w:bookmarkStart w:id="113" w:name="_Toc167615883"/>
      <w:bookmarkStart w:id="114" w:name="_Toc181371874"/>
      <w:r>
        <w:rPr>
          <w:bCs/>
          <w:szCs w:val="24"/>
          <w:lang w:eastAsia="ru-RU"/>
        </w:rPr>
        <w:t xml:space="preserve">7.6. Требования к характеристикам технических средств СКУД, СОС, СОТ и ППС отражены в </w:t>
      </w:r>
      <w:r>
        <w:t>Методических указаниях Компании «Оборудование объектов Компании инженерно-техническими средствами охраны» № П3-11.01 М-0003.</w:t>
      </w:r>
      <w:bookmarkEnd w:id="107"/>
      <w:bookmarkEnd w:id="108"/>
      <w:bookmarkEnd w:id="109"/>
      <w:bookmarkEnd w:id="110"/>
      <w:bookmarkEnd w:id="111"/>
      <w:bookmarkEnd w:id="112"/>
      <w:bookmarkEnd w:id="113"/>
      <w:bookmarkEnd w:id="114"/>
    </w:p>
    <w:p>
      <w:pPr>
        <w:spacing w:before="120"/>
        <w:jc w:val="both"/>
        <w:rPr>
          <w:rFonts w:ascii="Arial" w:hAnsi="Arial" w:cs="Arial"/>
          <w:b/>
          <w:bCs/>
          <w:caps/>
          <w:sz w:val="32"/>
          <w:szCs w:val="32"/>
        </w:rPr>
        <w:sectPr>
          <w:headerReference w:type="even" r:id="rId38"/>
          <w:headerReference w:type="default" r:id="rId39"/>
          <w:headerReference w:type="first" r:id="rId40"/>
          <w:pgSz w:w="11906" w:h="16838" w:code="9"/>
          <w:pgMar w:top="510" w:right="1021" w:bottom="567" w:left="1247" w:header="737" w:footer="680" w:gutter="0"/>
          <w:cols w:space="708"/>
          <w:docGrid w:linePitch="360"/>
        </w:sectPr>
      </w:pPr>
    </w:p>
    <w:p>
      <w:pPr>
        <w:pStyle w:val="S1"/>
        <w:tabs>
          <w:tab w:val="left" w:pos="567"/>
        </w:tabs>
        <w:ind w:left="0" w:firstLine="0"/>
      </w:pPr>
      <w:bookmarkStart w:id="115" w:name="_Toc480899114"/>
      <w:r>
        <w:rPr>
          <w:caps w:val="0"/>
        </w:rPr>
        <w:lastRenderedPageBreak/>
        <w:t>ТРЕБОВАНИЯ БЕЗОПАСНОСТИ СЕТЕЙ СВЯЗИ</w:t>
      </w:r>
      <w:bookmarkEnd w:id="115"/>
    </w:p>
    <w:p>
      <w:pPr>
        <w:jc w:val="both"/>
        <w:rPr>
          <w:bCs/>
          <w:szCs w:val="24"/>
          <w:lang w:eastAsia="ru-RU"/>
        </w:rPr>
      </w:pPr>
    </w:p>
    <w:p>
      <w:pPr>
        <w:jc w:val="both"/>
        <w:rPr>
          <w:bCs/>
          <w:szCs w:val="24"/>
          <w:lang w:eastAsia="ru-RU"/>
        </w:rPr>
      </w:pPr>
    </w:p>
    <w:p>
      <w:pPr>
        <w:jc w:val="both"/>
      </w:pPr>
      <w:r>
        <w:t xml:space="preserve">8.1. Принципы организации сетей связи в Компании </w:t>
      </w:r>
      <w:r>
        <w:rPr>
          <w:rFonts w:ascii="лются" w:hAnsi="лются"/>
        </w:rPr>
        <w:t>следующие</w:t>
      </w:r>
      <w:r>
        <w:t>:</w:t>
      </w:r>
    </w:p>
    <w:p>
      <w:pPr>
        <w:pStyle w:val="aff5"/>
        <w:numPr>
          <w:ilvl w:val="0"/>
          <w:numId w:val="4"/>
        </w:numPr>
        <w:tabs>
          <w:tab w:val="left" w:pos="539"/>
        </w:tabs>
        <w:spacing w:before="120"/>
        <w:ind w:left="538" w:hanging="357"/>
        <w:contextualSpacing w:val="0"/>
        <w:jc w:val="both"/>
      </w:pPr>
      <w:r>
        <w:t>сеть связи должна иметь резервирование по оборудованию и каналам;</w:t>
      </w:r>
    </w:p>
    <w:p>
      <w:pPr>
        <w:pStyle w:val="aff5"/>
        <w:numPr>
          <w:ilvl w:val="0"/>
          <w:numId w:val="4"/>
        </w:numPr>
        <w:tabs>
          <w:tab w:val="left" w:pos="539"/>
        </w:tabs>
        <w:spacing w:before="120"/>
        <w:ind w:left="538" w:hanging="357"/>
        <w:contextualSpacing w:val="0"/>
        <w:jc w:val="both"/>
      </w:pPr>
      <w:r>
        <w:t>сеть связи должна иметь возможность доступа к сети Интернет;</w:t>
      </w:r>
    </w:p>
    <w:p>
      <w:pPr>
        <w:pStyle w:val="aff5"/>
        <w:numPr>
          <w:ilvl w:val="0"/>
          <w:numId w:val="4"/>
        </w:numPr>
        <w:tabs>
          <w:tab w:val="left" w:pos="539"/>
        </w:tabs>
        <w:spacing w:before="120"/>
        <w:ind w:left="538" w:hanging="357"/>
        <w:contextualSpacing w:val="0"/>
        <w:jc w:val="both"/>
      </w:pPr>
      <w:r>
        <w:rPr>
          <w:szCs w:val="24"/>
        </w:rPr>
        <w:t>должна обеспечиваться организация  выделенных каналов связи и VPN</w:t>
      </w:r>
      <w:r>
        <w:t>;</w:t>
      </w:r>
    </w:p>
    <w:p>
      <w:pPr>
        <w:pStyle w:val="aff5"/>
        <w:numPr>
          <w:ilvl w:val="0"/>
          <w:numId w:val="4"/>
        </w:numPr>
        <w:tabs>
          <w:tab w:val="left" w:pos="539"/>
        </w:tabs>
        <w:spacing w:before="120"/>
        <w:ind w:left="538" w:hanging="357"/>
        <w:contextualSpacing w:val="0"/>
        <w:jc w:val="both"/>
      </w:pPr>
      <w:r>
        <w:t>сеть связи должна поддерживать VLAN;</w:t>
      </w:r>
    </w:p>
    <w:p>
      <w:pPr>
        <w:pStyle w:val="aff5"/>
        <w:numPr>
          <w:ilvl w:val="0"/>
          <w:numId w:val="4"/>
        </w:numPr>
        <w:tabs>
          <w:tab w:val="left" w:pos="539"/>
        </w:tabs>
        <w:spacing w:before="120"/>
        <w:ind w:left="538" w:hanging="357"/>
        <w:contextualSpacing w:val="0"/>
        <w:jc w:val="both"/>
      </w:pPr>
      <w:r>
        <w:t xml:space="preserve">сеть связи должна структурно иметь </w:t>
      </w:r>
      <w:r>
        <w:rPr>
          <w:szCs w:val="24"/>
        </w:rPr>
        <w:t xml:space="preserve">в своем составе </w:t>
      </w:r>
      <w:r>
        <w:t>ДМЗ;</w:t>
      </w:r>
    </w:p>
    <w:p>
      <w:pPr>
        <w:pStyle w:val="aff5"/>
        <w:numPr>
          <w:ilvl w:val="0"/>
          <w:numId w:val="4"/>
        </w:numPr>
        <w:tabs>
          <w:tab w:val="left" w:pos="539"/>
        </w:tabs>
        <w:spacing w:before="120"/>
        <w:ind w:left="538" w:hanging="357"/>
        <w:contextualSpacing w:val="0"/>
        <w:jc w:val="both"/>
      </w:pPr>
      <w:r>
        <w:t>в сетях связи необходимо межсетевое экранирование;</w:t>
      </w:r>
    </w:p>
    <w:p>
      <w:pPr>
        <w:pStyle w:val="aff5"/>
        <w:numPr>
          <w:ilvl w:val="0"/>
          <w:numId w:val="4"/>
        </w:numPr>
        <w:tabs>
          <w:tab w:val="left" w:pos="539"/>
        </w:tabs>
        <w:spacing w:before="120"/>
        <w:ind w:left="538" w:hanging="357"/>
        <w:contextualSpacing w:val="0"/>
        <w:jc w:val="both"/>
      </w:pPr>
      <w:r>
        <w:t>сеть связи должна обеспечивать необходимую производительность;</w:t>
      </w:r>
    </w:p>
    <w:p>
      <w:pPr>
        <w:pStyle w:val="aff5"/>
        <w:numPr>
          <w:ilvl w:val="0"/>
          <w:numId w:val="4"/>
        </w:numPr>
        <w:tabs>
          <w:tab w:val="left" w:pos="539"/>
        </w:tabs>
        <w:spacing w:before="120"/>
        <w:ind w:left="538" w:hanging="357"/>
        <w:contextualSpacing w:val="0"/>
        <w:jc w:val="both"/>
      </w:pPr>
      <w:r>
        <w:t>сеть связи должна иметь механизмы обнаружения и защиты от вторжений;</w:t>
      </w:r>
    </w:p>
    <w:p>
      <w:pPr>
        <w:pStyle w:val="aff5"/>
        <w:numPr>
          <w:ilvl w:val="0"/>
          <w:numId w:val="4"/>
        </w:numPr>
        <w:tabs>
          <w:tab w:val="left" w:pos="539"/>
        </w:tabs>
        <w:spacing w:before="120"/>
        <w:ind w:left="538" w:hanging="357"/>
        <w:contextualSpacing w:val="0"/>
        <w:jc w:val="both"/>
      </w:pPr>
      <w:r>
        <w:t xml:space="preserve">в сети связи должен быть обеспечен мониторинг и аудит событий </w:t>
      </w:r>
      <w:r>
        <w:rPr>
          <w:szCs w:val="24"/>
        </w:rPr>
        <w:t xml:space="preserve">телекоммуникационной </w:t>
      </w:r>
      <w:r>
        <w:t>инфраструктуры;</w:t>
      </w:r>
    </w:p>
    <w:p>
      <w:pPr>
        <w:numPr>
          <w:ilvl w:val="0"/>
          <w:numId w:val="2"/>
        </w:numPr>
        <w:tabs>
          <w:tab w:val="num" w:pos="540"/>
        </w:tabs>
        <w:spacing w:before="120"/>
        <w:ind w:left="538" w:hanging="357"/>
        <w:jc w:val="both"/>
      </w:pPr>
      <w:r>
        <w:t>сеть связи должна обеспечивать показатели QоS для разных классов сетевой нагрузки.</w:t>
      </w:r>
    </w:p>
    <w:p>
      <w:pPr>
        <w:pStyle w:val="S4"/>
        <w:widowControl/>
      </w:pPr>
    </w:p>
    <w:p>
      <w:pPr>
        <w:jc w:val="both"/>
        <w:rPr>
          <w:bCs/>
          <w:szCs w:val="24"/>
          <w:lang w:eastAsia="ru-RU"/>
        </w:rPr>
      </w:pPr>
      <w:r>
        <w:rPr>
          <w:bCs/>
          <w:szCs w:val="24"/>
          <w:lang w:eastAsia="ru-RU"/>
        </w:rPr>
        <w:t>8.2. </w:t>
      </w:r>
      <w:r>
        <w:t>Безопасность</w:t>
      </w:r>
      <w:r>
        <w:rPr>
          <w:bCs/>
          <w:szCs w:val="24"/>
          <w:lang w:eastAsia="ru-RU"/>
        </w:rPr>
        <w:t xml:space="preserve"> сетей электросвязи достигается:</w:t>
      </w:r>
    </w:p>
    <w:p>
      <w:pPr>
        <w:numPr>
          <w:ilvl w:val="0"/>
          <w:numId w:val="2"/>
        </w:numPr>
        <w:tabs>
          <w:tab w:val="num" w:pos="540"/>
        </w:tabs>
        <w:spacing w:before="120"/>
        <w:ind w:left="538" w:hanging="357"/>
        <w:jc w:val="both"/>
        <w:rPr>
          <w:iCs/>
          <w:szCs w:val="24"/>
          <w:lang w:eastAsia="ru-RU"/>
        </w:rPr>
      </w:pPr>
      <w:r>
        <w:rPr>
          <w:iCs/>
          <w:szCs w:val="24"/>
          <w:lang w:eastAsia="ru-RU"/>
        </w:rPr>
        <w:t>защитой сетей электросвязи от НСД к ним и передаваемой посредством их информации;</w:t>
      </w:r>
    </w:p>
    <w:p>
      <w:pPr>
        <w:numPr>
          <w:ilvl w:val="0"/>
          <w:numId w:val="2"/>
        </w:numPr>
        <w:tabs>
          <w:tab w:val="num" w:pos="540"/>
        </w:tabs>
        <w:spacing w:before="120"/>
        <w:ind w:left="538" w:hanging="357"/>
        <w:jc w:val="both"/>
        <w:rPr>
          <w:iCs/>
          <w:szCs w:val="24"/>
          <w:lang w:eastAsia="ru-RU"/>
        </w:rPr>
      </w:pPr>
      <w:r>
        <w:rPr>
          <w:iCs/>
          <w:szCs w:val="24"/>
          <w:lang w:eastAsia="ru-RU"/>
        </w:rPr>
        <w:t>противодействием техническим разведкам;</w:t>
      </w:r>
    </w:p>
    <w:p>
      <w:pPr>
        <w:numPr>
          <w:ilvl w:val="0"/>
          <w:numId w:val="2"/>
        </w:numPr>
        <w:tabs>
          <w:tab w:val="num" w:pos="540"/>
        </w:tabs>
        <w:spacing w:before="120"/>
        <w:ind w:left="538" w:hanging="357"/>
        <w:jc w:val="both"/>
        <w:rPr>
          <w:iCs/>
          <w:szCs w:val="24"/>
          <w:lang w:eastAsia="ru-RU"/>
        </w:rPr>
      </w:pPr>
      <w:r>
        <w:rPr>
          <w:iCs/>
          <w:szCs w:val="24"/>
          <w:lang w:eastAsia="ru-RU"/>
        </w:rPr>
        <w:t>противодействием сетевым атакам и вирусам;</w:t>
      </w:r>
    </w:p>
    <w:p>
      <w:pPr>
        <w:numPr>
          <w:ilvl w:val="0"/>
          <w:numId w:val="2"/>
        </w:numPr>
        <w:tabs>
          <w:tab w:val="num" w:pos="540"/>
        </w:tabs>
        <w:spacing w:before="120"/>
        <w:ind w:left="538" w:hanging="357"/>
        <w:jc w:val="both"/>
        <w:rPr>
          <w:iCs/>
          <w:szCs w:val="24"/>
          <w:lang w:eastAsia="ru-RU"/>
        </w:rPr>
      </w:pPr>
      <w:r>
        <w:rPr>
          <w:iCs/>
          <w:szCs w:val="24"/>
          <w:lang w:eastAsia="ru-RU"/>
        </w:rPr>
        <w:t>защитой объектов инфраструктуры связи от НСВ, включая их физическую защиту;</w:t>
      </w:r>
    </w:p>
    <w:p>
      <w:pPr>
        <w:numPr>
          <w:ilvl w:val="0"/>
          <w:numId w:val="2"/>
        </w:numPr>
        <w:tabs>
          <w:tab w:val="num" w:pos="540"/>
        </w:tabs>
        <w:spacing w:before="120"/>
        <w:ind w:left="538" w:hanging="357"/>
        <w:jc w:val="both"/>
        <w:rPr>
          <w:iCs/>
          <w:szCs w:val="24"/>
          <w:lang w:eastAsia="ru-RU"/>
        </w:rPr>
      </w:pPr>
      <w:bookmarkStart w:id="116" w:name="sub_725"/>
      <w:r>
        <w:rPr>
          <w:iCs/>
          <w:szCs w:val="24"/>
          <w:lang w:eastAsia="ru-RU"/>
        </w:rPr>
        <w:t>разграничением доступа пользователей и субъектов инфраструктуры связи, сетей электросвязи к информационным ресурсам;</w:t>
      </w:r>
    </w:p>
    <w:p>
      <w:pPr>
        <w:numPr>
          <w:ilvl w:val="0"/>
          <w:numId w:val="2"/>
        </w:numPr>
        <w:tabs>
          <w:tab w:val="num" w:pos="540"/>
        </w:tabs>
        <w:spacing w:before="120"/>
        <w:ind w:left="538" w:hanging="357"/>
        <w:jc w:val="both"/>
        <w:rPr>
          <w:iCs/>
          <w:szCs w:val="24"/>
          <w:lang w:eastAsia="ru-RU"/>
        </w:rPr>
      </w:pPr>
      <w:bookmarkStart w:id="117" w:name="sub_101712"/>
      <w:r>
        <w:rPr>
          <w:iCs/>
          <w:szCs w:val="24"/>
          <w:lang w:eastAsia="ru-RU"/>
        </w:rPr>
        <w:t>идентификацией пользователя услуг сетей связи в периметре Компании путем установления фамилии, имени, отчества (при наличии), подтверждаемых документом, удостоверяющим личность, либо иным способом, обеспечивающим достоверное установление указанных сведений</w:t>
      </w:r>
      <w:bookmarkEnd w:id="117"/>
      <w:r>
        <w:rPr>
          <w:iCs/>
          <w:szCs w:val="24"/>
          <w:lang w:eastAsia="ru-RU"/>
        </w:rPr>
        <w:t xml:space="preserve"> или достоверного установления абонентского номера пользователя услуг связи (работника);</w:t>
      </w:r>
    </w:p>
    <w:p>
      <w:pPr>
        <w:numPr>
          <w:ilvl w:val="0"/>
          <w:numId w:val="2"/>
        </w:numPr>
        <w:tabs>
          <w:tab w:val="num" w:pos="540"/>
        </w:tabs>
        <w:spacing w:before="120"/>
        <w:ind w:left="538" w:hanging="357"/>
        <w:jc w:val="both"/>
        <w:rPr>
          <w:iCs/>
          <w:szCs w:val="24"/>
          <w:lang w:eastAsia="ru-RU"/>
        </w:rPr>
      </w:pPr>
      <w:bookmarkStart w:id="118" w:name="sub_726"/>
      <w:bookmarkEnd w:id="116"/>
      <w:r>
        <w:rPr>
          <w:iCs/>
          <w:szCs w:val="24"/>
          <w:lang w:eastAsia="ru-RU"/>
        </w:rPr>
        <w:t>использованием механизмов обеспечения безопасности;</w:t>
      </w:r>
    </w:p>
    <w:p>
      <w:pPr>
        <w:numPr>
          <w:ilvl w:val="0"/>
          <w:numId w:val="2"/>
        </w:numPr>
        <w:tabs>
          <w:tab w:val="num" w:pos="540"/>
        </w:tabs>
        <w:spacing w:before="120"/>
        <w:ind w:left="538" w:hanging="357"/>
        <w:jc w:val="both"/>
        <w:rPr>
          <w:iCs/>
          <w:szCs w:val="24"/>
          <w:lang w:eastAsia="ru-RU"/>
        </w:rPr>
      </w:pPr>
      <w:bookmarkStart w:id="119" w:name="sub_727"/>
      <w:bookmarkEnd w:id="118"/>
      <w:r>
        <w:rPr>
          <w:iCs/>
          <w:szCs w:val="24"/>
          <w:lang w:eastAsia="ru-RU"/>
        </w:rPr>
        <w:t>физической и инженерно-технической защитой объектов инфраструктуры связи и сетей электросвязи;</w:t>
      </w:r>
    </w:p>
    <w:p>
      <w:pPr>
        <w:numPr>
          <w:ilvl w:val="0"/>
          <w:numId w:val="2"/>
        </w:numPr>
        <w:tabs>
          <w:tab w:val="num" w:pos="540"/>
        </w:tabs>
        <w:spacing w:before="120"/>
        <w:ind w:left="538" w:hanging="357"/>
        <w:jc w:val="both"/>
        <w:rPr>
          <w:iCs/>
          <w:szCs w:val="24"/>
          <w:lang w:eastAsia="ru-RU"/>
        </w:rPr>
      </w:pPr>
      <w:bookmarkStart w:id="120" w:name="sub_728"/>
      <w:bookmarkEnd w:id="119"/>
      <w:r>
        <w:rPr>
          <w:iCs/>
          <w:szCs w:val="24"/>
          <w:lang w:eastAsia="ru-RU"/>
        </w:rPr>
        <w:t>использованием организационных методов, включающих:</w:t>
      </w:r>
    </w:p>
    <w:p>
      <w:pPr>
        <w:numPr>
          <w:ilvl w:val="1"/>
          <w:numId w:val="19"/>
        </w:numPr>
        <w:tabs>
          <w:tab w:val="clear" w:pos="1440"/>
          <w:tab w:val="num" w:pos="539"/>
        </w:tabs>
        <w:spacing w:before="120"/>
        <w:ind w:left="896" w:hanging="357"/>
        <w:jc w:val="both"/>
        <w:rPr>
          <w:szCs w:val="24"/>
        </w:rPr>
      </w:pPr>
      <w:bookmarkStart w:id="121" w:name="sub_7281"/>
      <w:bookmarkEnd w:id="120"/>
      <w:r>
        <w:rPr>
          <w:szCs w:val="24"/>
        </w:rPr>
        <w:t>разработку и реализацию политики информационной безопасности;</w:t>
      </w:r>
    </w:p>
    <w:p>
      <w:pPr>
        <w:numPr>
          <w:ilvl w:val="1"/>
          <w:numId w:val="19"/>
        </w:numPr>
        <w:tabs>
          <w:tab w:val="clear" w:pos="1440"/>
          <w:tab w:val="num" w:pos="539"/>
        </w:tabs>
        <w:spacing w:before="120"/>
        <w:ind w:left="896" w:hanging="357"/>
        <w:jc w:val="both"/>
        <w:rPr>
          <w:szCs w:val="24"/>
        </w:rPr>
      </w:pPr>
      <w:bookmarkStart w:id="122" w:name="sub_7282"/>
      <w:bookmarkEnd w:id="121"/>
      <w:r>
        <w:rPr>
          <w:szCs w:val="24"/>
        </w:rPr>
        <w:t>организацию мониторинга безопасности сети связи;</w:t>
      </w:r>
    </w:p>
    <w:p>
      <w:pPr>
        <w:numPr>
          <w:ilvl w:val="1"/>
          <w:numId w:val="19"/>
        </w:numPr>
        <w:tabs>
          <w:tab w:val="clear" w:pos="1440"/>
          <w:tab w:val="num" w:pos="539"/>
        </w:tabs>
        <w:spacing w:before="120"/>
        <w:ind w:left="896" w:hanging="357"/>
        <w:jc w:val="both"/>
        <w:rPr>
          <w:szCs w:val="24"/>
        </w:rPr>
      </w:pPr>
      <w:bookmarkStart w:id="123" w:name="sub_7283"/>
      <w:bookmarkEnd w:id="122"/>
      <w:r>
        <w:rPr>
          <w:szCs w:val="24"/>
        </w:rPr>
        <w:t>определение порядка действий в чрезвычайных ситуациях и в условиях чрезвычайного положения;</w:t>
      </w:r>
    </w:p>
    <w:p>
      <w:pPr>
        <w:numPr>
          <w:ilvl w:val="1"/>
          <w:numId w:val="19"/>
        </w:numPr>
        <w:tabs>
          <w:tab w:val="clear" w:pos="1440"/>
          <w:tab w:val="num" w:pos="539"/>
        </w:tabs>
        <w:spacing w:before="120"/>
        <w:ind w:left="896" w:hanging="357"/>
        <w:jc w:val="both"/>
        <w:rPr>
          <w:szCs w:val="24"/>
        </w:rPr>
      </w:pPr>
      <w:bookmarkStart w:id="124" w:name="sub_7284"/>
      <w:bookmarkEnd w:id="123"/>
      <w:r>
        <w:rPr>
          <w:szCs w:val="24"/>
        </w:rPr>
        <w:t xml:space="preserve">определение порядка реагирования на нарушения безопасности </w:t>
      </w:r>
      <w:r>
        <w:rPr>
          <w:bCs/>
          <w:szCs w:val="24"/>
          <w:lang w:eastAsia="ru-RU"/>
        </w:rPr>
        <w:t>телекоммуникационной инфраструктуры</w:t>
      </w:r>
      <w:r>
        <w:rPr>
          <w:szCs w:val="24"/>
        </w:rPr>
        <w:t>;</w:t>
      </w:r>
    </w:p>
    <w:p>
      <w:pPr>
        <w:numPr>
          <w:ilvl w:val="1"/>
          <w:numId w:val="19"/>
        </w:numPr>
        <w:tabs>
          <w:tab w:val="clear" w:pos="1440"/>
          <w:tab w:val="num" w:pos="539"/>
        </w:tabs>
        <w:spacing w:before="120"/>
        <w:ind w:left="896" w:hanging="357"/>
        <w:jc w:val="both"/>
        <w:rPr>
          <w:szCs w:val="24"/>
        </w:rPr>
      </w:pPr>
      <w:bookmarkStart w:id="125" w:name="sub_7285"/>
      <w:bookmarkEnd w:id="124"/>
      <w:r>
        <w:lastRenderedPageBreak/>
        <w:t>повышение осведомленности работников</w:t>
      </w:r>
      <w:r>
        <w:rPr>
          <w:szCs w:val="24"/>
        </w:rPr>
        <w:t xml:space="preserve"> ПАО «НК «Роснефть»/ОГ по вопросам безопасности сетей связи;</w:t>
      </w:r>
    </w:p>
    <w:p>
      <w:pPr>
        <w:numPr>
          <w:ilvl w:val="1"/>
          <w:numId w:val="19"/>
        </w:numPr>
        <w:tabs>
          <w:tab w:val="clear" w:pos="1440"/>
          <w:tab w:val="num" w:pos="539"/>
        </w:tabs>
        <w:spacing w:before="120"/>
        <w:ind w:left="896" w:hanging="357"/>
        <w:jc w:val="both"/>
        <w:rPr>
          <w:szCs w:val="24"/>
        </w:rPr>
      </w:pPr>
      <w:bookmarkStart w:id="126" w:name="sub_7286"/>
      <w:bookmarkEnd w:id="125"/>
      <w:r>
        <w:rPr>
          <w:szCs w:val="24"/>
        </w:rPr>
        <w:t>определение системы подготовки и повышения квалификации специалистов по безопасности сетей связи.</w:t>
      </w:r>
    </w:p>
    <w:p>
      <w:pPr>
        <w:numPr>
          <w:ilvl w:val="0"/>
          <w:numId w:val="2"/>
        </w:numPr>
        <w:tabs>
          <w:tab w:val="num" w:pos="540"/>
        </w:tabs>
        <w:spacing w:before="120"/>
        <w:ind w:left="538" w:hanging="357"/>
        <w:jc w:val="both"/>
        <w:rPr>
          <w:iCs/>
          <w:szCs w:val="24"/>
          <w:lang w:eastAsia="ru-RU"/>
        </w:rPr>
      </w:pPr>
      <w:r>
        <w:rPr>
          <w:iCs/>
          <w:szCs w:val="24"/>
          <w:lang w:eastAsia="ru-RU"/>
        </w:rPr>
        <w:t xml:space="preserve">принятием мер, исключающих возможность доступа к услугам сетей связи лиц, не имеющих на это право или пользователей, нарушающих, установленный в Положении Компании «Требования к защите локальных вычислительных сетей </w:t>
      </w:r>
      <w:r>
        <w:rPr>
          <w:iCs/>
          <w:szCs w:val="24"/>
          <w:lang w:eastAsia="ru-RU"/>
        </w:rPr>
        <w:br/>
        <w:t>Компании, подключаемых в единую корпоративную телекоммуникационную систему ПАО «НК «Роснефть» № П3-11.01 Р-0123, порядок;</w:t>
      </w:r>
    </w:p>
    <w:p>
      <w:pPr>
        <w:numPr>
          <w:ilvl w:val="0"/>
          <w:numId w:val="2"/>
        </w:numPr>
        <w:tabs>
          <w:tab w:val="num" w:pos="540"/>
        </w:tabs>
        <w:spacing w:before="120"/>
        <w:ind w:left="538" w:hanging="357"/>
        <w:jc w:val="both"/>
        <w:rPr>
          <w:iCs/>
          <w:szCs w:val="24"/>
          <w:lang w:eastAsia="ru-RU"/>
        </w:rPr>
      </w:pPr>
      <w:r>
        <w:rPr>
          <w:iCs/>
          <w:szCs w:val="24"/>
          <w:lang w:eastAsia="ru-RU"/>
        </w:rPr>
        <w:t>контролем подключения к сети связи технических и программных средств, используемых в процессе эксплуатации узлов связи;</w:t>
      </w:r>
    </w:p>
    <w:p>
      <w:pPr>
        <w:numPr>
          <w:ilvl w:val="0"/>
          <w:numId w:val="2"/>
        </w:numPr>
        <w:tabs>
          <w:tab w:val="num" w:pos="540"/>
        </w:tabs>
        <w:spacing w:before="120"/>
        <w:ind w:left="538" w:hanging="357"/>
        <w:jc w:val="both"/>
        <w:rPr>
          <w:iCs/>
          <w:szCs w:val="24"/>
          <w:lang w:eastAsia="ru-RU"/>
        </w:rPr>
      </w:pPr>
      <w:r>
        <w:rPr>
          <w:iCs/>
          <w:szCs w:val="24"/>
          <w:lang w:eastAsia="ru-RU"/>
        </w:rPr>
        <w:t>регистрацией и последующим контролем действий обслуживающего персонала в процессе эксплуатации сети связи и доступа к средствам, каналам и линиям связи в соответствии с Положением Компании «Требования к защите локальных вычислительных сетей Компании, подключаемых в единую корпоративную телекоммуникационную систему ПАО «НК «Роснефть» № П3-11.01 Р-0123.</w:t>
      </w:r>
    </w:p>
    <w:p>
      <w:pPr>
        <w:pStyle w:val="S4"/>
        <w:widowControl/>
      </w:pPr>
    </w:p>
    <w:p>
      <w:pPr>
        <w:jc w:val="both"/>
      </w:pPr>
      <w:r>
        <w:t>8.3. Для защиты от НСД к каналам связи и НСВ на них необходимо обеспечить:</w:t>
      </w:r>
    </w:p>
    <w:p>
      <w:pPr>
        <w:numPr>
          <w:ilvl w:val="0"/>
          <w:numId w:val="2"/>
        </w:numPr>
        <w:tabs>
          <w:tab w:val="num" w:pos="540"/>
        </w:tabs>
        <w:spacing w:before="120"/>
        <w:ind w:left="538" w:hanging="357"/>
        <w:jc w:val="both"/>
        <w:rPr>
          <w:iCs/>
          <w:szCs w:val="24"/>
          <w:lang w:eastAsia="ru-RU"/>
        </w:rPr>
      </w:pPr>
      <w:r>
        <w:rPr>
          <w:iCs/>
          <w:szCs w:val="24"/>
          <w:lang w:eastAsia="ru-RU"/>
        </w:rPr>
        <w:t xml:space="preserve">прокладку линий связи в охранных зонах в соответствии с </w:t>
      </w:r>
      <w:r>
        <w:t>Правилами охраны линий и сооружений связи Российской Федерации</w:t>
      </w:r>
      <w:r>
        <w:rPr>
          <w:iCs/>
          <w:szCs w:val="24"/>
          <w:lang w:eastAsia="ru-RU"/>
        </w:rPr>
        <w:t>;</w:t>
      </w:r>
    </w:p>
    <w:p>
      <w:pPr>
        <w:numPr>
          <w:ilvl w:val="0"/>
          <w:numId w:val="2"/>
        </w:numPr>
        <w:tabs>
          <w:tab w:val="num" w:pos="540"/>
        </w:tabs>
        <w:spacing w:before="120"/>
        <w:ind w:left="538" w:hanging="357"/>
        <w:jc w:val="both"/>
        <w:rPr>
          <w:iCs/>
          <w:szCs w:val="24"/>
          <w:lang w:eastAsia="ru-RU"/>
        </w:rPr>
      </w:pPr>
      <w:r>
        <w:rPr>
          <w:iCs/>
          <w:szCs w:val="24"/>
          <w:lang w:eastAsia="ru-RU"/>
        </w:rPr>
        <w:t>осмотр линий связи и применение мер организационного и (или) технического характера по обнаружению несанкционированного подключения к проводным линиям связи;</w:t>
      </w:r>
    </w:p>
    <w:p>
      <w:pPr>
        <w:numPr>
          <w:ilvl w:val="0"/>
          <w:numId w:val="2"/>
        </w:numPr>
        <w:tabs>
          <w:tab w:val="num" w:pos="540"/>
        </w:tabs>
        <w:spacing w:before="120"/>
        <w:ind w:left="538" w:hanging="357"/>
        <w:jc w:val="both"/>
        <w:rPr>
          <w:iCs/>
          <w:szCs w:val="24"/>
          <w:lang w:eastAsia="ru-RU"/>
        </w:rPr>
      </w:pPr>
      <w:r>
        <w:rPr>
          <w:iCs/>
          <w:szCs w:val="24"/>
          <w:lang w:eastAsia="ru-RU"/>
        </w:rPr>
        <w:t>размещение линий связи, исключающее возможность доступа к ним без использования каких-либо инструментов или механизмов.</w:t>
      </w:r>
    </w:p>
    <w:p>
      <w:pPr>
        <w:pStyle w:val="S4"/>
        <w:widowControl/>
      </w:pPr>
    </w:p>
    <w:p>
      <w:pPr>
        <w:jc w:val="both"/>
      </w:pPr>
      <w:r>
        <w:t>8.4. Защита от НСД к абонентским линиям связи сетей телефонной связи, сетей передачи данных обеспечивается:</w:t>
      </w:r>
    </w:p>
    <w:p>
      <w:pPr>
        <w:numPr>
          <w:ilvl w:val="0"/>
          <w:numId w:val="2"/>
        </w:numPr>
        <w:tabs>
          <w:tab w:val="num" w:pos="540"/>
        </w:tabs>
        <w:spacing w:before="120"/>
        <w:ind w:left="538" w:hanging="357"/>
        <w:jc w:val="both"/>
        <w:rPr>
          <w:iCs/>
          <w:szCs w:val="24"/>
          <w:lang w:eastAsia="ru-RU"/>
        </w:rPr>
      </w:pPr>
      <w:r>
        <w:rPr>
          <w:iCs/>
          <w:szCs w:val="24"/>
          <w:lang w:eastAsia="ru-RU"/>
        </w:rPr>
        <w:t>размещение линий связи в специальных коробах и распределительных коробках, оснащенных запирающими устройствами, или внутри стен зданий, строений или размещение линий связи, исключающее возможность доступа к ним без использования каких-либо инструментов или механизмов;</w:t>
      </w:r>
    </w:p>
    <w:p>
      <w:pPr>
        <w:numPr>
          <w:ilvl w:val="0"/>
          <w:numId w:val="2"/>
        </w:numPr>
        <w:tabs>
          <w:tab w:val="num" w:pos="540"/>
        </w:tabs>
        <w:spacing w:before="120"/>
        <w:ind w:left="538" w:hanging="357"/>
        <w:jc w:val="both"/>
        <w:rPr>
          <w:iCs/>
          <w:szCs w:val="24"/>
          <w:lang w:eastAsia="ru-RU"/>
        </w:rPr>
      </w:pPr>
      <w:r>
        <w:rPr>
          <w:iCs/>
          <w:szCs w:val="24"/>
          <w:lang w:eastAsia="ru-RU"/>
        </w:rPr>
        <w:t>визуальным осмотром линий связи.</w:t>
      </w:r>
    </w:p>
    <w:p>
      <w:pPr>
        <w:pStyle w:val="S4"/>
        <w:widowControl/>
      </w:pPr>
    </w:p>
    <w:p>
      <w:pPr>
        <w:jc w:val="both"/>
      </w:pPr>
      <w:r>
        <w:t>8.5. Защита от несанкционированного доступа абонентских линий связи при применении радиоэлектронных средств обеспечивается применением радиосредств с кодированием информации в радиоканале, а при обмене конфиденциальной информацией с применением средств криптографической защиты.</w:t>
      </w:r>
    </w:p>
    <w:p>
      <w:pPr>
        <w:jc w:val="both"/>
        <w:rPr>
          <w:iCs/>
          <w:szCs w:val="24"/>
          <w:lang w:eastAsia="ru-RU"/>
        </w:rPr>
      </w:pPr>
    </w:p>
    <w:p>
      <w:pPr>
        <w:jc w:val="both"/>
        <w:rPr>
          <w:bCs/>
          <w:szCs w:val="24"/>
          <w:lang w:eastAsia="ru-RU"/>
        </w:rPr>
      </w:pPr>
      <w:r>
        <w:rPr>
          <w:bCs/>
          <w:szCs w:val="24"/>
          <w:lang w:eastAsia="ru-RU"/>
        </w:rPr>
        <w:t xml:space="preserve">8.6. Организация </w:t>
      </w:r>
      <w:r>
        <w:t>сетей</w:t>
      </w:r>
      <w:r>
        <w:rPr>
          <w:bCs/>
          <w:szCs w:val="24"/>
          <w:lang w:eastAsia="ru-RU"/>
        </w:rPr>
        <w:t xml:space="preserve"> электросвязи в Компании должна осуществляться на основе:</w:t>
      </w:r>
    </w:p>
    <w:p>
      <w:pPr>
        <w:pStyle w:val="aff5"/>
        <w:numPr>
          <w:ilvl w:val="0"/>
          <w:numId w:val="5"/>
        </w:numPr>
        <w:tabs>
          <w:tab w:val="left" w:pos="539"/>
        </w:tabs>
        <w:spacing w:before="120"/>
        <w:ind w:left="538" w:hanging="357"/>
        <w:contextualSpacing w:val="0"/>
        <w:jc w:val="both"/>
      </w:pPr>
      <w:r>
        <w:t>собственных или арендуемых каналов связи с применением кабеля с металлическими направляющими, волоконно-оптического кабеля, среды распространения радиоволн;</w:t>
      </w:r>
    </w:p>
    <w:p>
      <w:pPr>
        <w:pStyle w:val="aff5"/>
        <w:numPr>
          <w:ilvl w:val="0"/>
          <w:numId w:val="5"/>
        </w:numPr>
        <w:tabs>
          <w:tab w:val="left" w:pos="539"/>
        </w:tabs>
        <w:spacing w:before="120"/>
        <w:ind w:left="538" w:hanging="357"/>
        <w:contextualSpacing w:val="0"/>
        <w:jc w:val="both"/>
      </w:pPr>
      <w:r>
        <w:t>собственных или арендуемых виртуальных каналов передачи данных (L2 VPN, L3 VPN);</w:t>
      </w:r>
    </w:p>
    <w:p>
      <w:pPr>
        <w:pStyle w:val="aff5"/>
        <w:numPr>
          <w:ilvl w:val="0"/>
          <w:numId w:val="5"/>
        </w:numPr>
        <w:tabs>
          <w:tab w:val="left" w:pos="539"/>
        </w:tabs>
        <w:spacing w:before="120"/>
        <w:ind w:left="538" w:hanging="357"/>
        <w:contextualSpacing w:val="0"/>
        <w:jc w:val="both"/>
      </w:pPr>
      <w:r>
        <w:t>каналов передачи данных (L2 VPN туннель), организуемых на каналах доступа в Интернет с организацией межсетевых экранов в точках терминирования.</w:t>
      </w:r>
    </w:p>
    <w:p>
      <w:pPr>
        <w:jc w:val="both"/>
      </w:pPr>
      <w:r>
        <w:lastRenderedPageBreak/>
        <w:t>Сети связи должны поддерживать:</w:t>
      </w:r>
    </w:p>
    <w:p>
      <w:pPr>
        <w:pStyle w:val="affb"/>
        <w:numPr>
          <w:ilvl w:val="0"/>
          <w:numId w:val="26"/>
        </w:numPr>
        <w:ind w:left="538" w:hanging="357"/>
        <w:rPr>
          <w:rFonts w:ascii="Times New Roman" w:hAnsi="Times New Roman"/>
        </w:rPr>
      </w:pPr>
      <w:r>
        <w:rPr>
          <w:rFonts w:ascii="Times New Roman" w:hAnsi="Times New Roman"/>
        </w:rPr>
        <w:t xml:space="preserve">на физическом уровне – спецификацию Ethernet 100/1000/10000 (кадры Ethernet II, IEEE 802.3/LLC), </w:t>
      </w:r>
      <w:r>
        <w:rPr>
          <w:rFonts w:ascii="Times New Roman" w:hAnsi="Times New Roman"/>
          <w:szCs w:val="24"/>
          <w:lang w:val="en-US"/>
        </w:rPr>
        <w:t>PDH</w:t>
      </w:r>
      <w:r>
        <w:rPr>
          <w:rFonts w:ascii="Times New Roman" w:hAnsi="Times New Roman"/>
          <w:szCs w:val="24"/>
        </w:rPr>
        <w:t xml:space="preserve"> и </w:t>
      </w:r>
      <w:r>
        <w:rPr>
          <w:rFonts w:ascii="Times New Roman" w:hAnsi="Times New Roman"/>
          <w:szCs w:val="24"/>
          <w:lang w:val="en-US"/>
        </w:rPr>
        <w:t>SDH</w:t>
      </w:r>
      <w:r>
        <w:rPr>
          <w:rFonts w:ascii="Times New Roman" w:hAnsi="Times New Roman"/>
        </w:rPr>
        <w:t>;</w:t>
      </w:r>
    </w:p>
    <w:p>
      <w:pPr>
        <w:pStyle w:val="affb"/>
        <w:numPr>
          <w:ilvl w:val="0"/>
          <w:numId w:val="26"/>
        </w:numPr>
        <w:ind w:left="538" w:hanging="357"/>
        <w:rPr>
          <w:rFonts w:ascii="Times New Roman" w:hAnsi="Times New Roman"/>
        </w:rPr>
      </w:pPr>
      <w:r>
        <w:rPr>
          <w:rFonts w:ascii="Times New Roman" w:hAnsi="Times New Roman"/>
        </w:rPr>
        <w:t>на сетевом уровне – протокол IP (RFC791), протокол криптографической защиты трафика IPsec (RFC4301), служебный протокол ICMP (RFC792);</w:t>
      </w:r>
    </w:p>
    <w:p>
      <w:pPr>
        <w:pStyle w:val="affb"/>
        <w:numPr>
          <w:ilvl w:val="0"/>
          <w:numId w:val="26"/>
        </w:numPr>
        <w:ind w:left="538" w:hanging="357"/>
        <w:rPr>
          <w:rFonts w:ascii="Times New Roman" w:hAnsi="Times New Roman"/>
        </w:rPr>
      </w:pPr>
      <w:r>
        <w:rPr>
          <w:rFonts w:ascii="Times New Roman" w:hAnsi="Times New Roman"/>
        </w:rPr>
        <w:t>на транспортном уровне – протоколы TCP (RFC793), UDP (RFC768);</w:t>
      </w:r>
    </w:p>
    <w:p>
      <w:pPr>
        <w:pStyle w:val="affb"/>
        <w:numPr>
          <w:ilvl w:val="0"/>
          <w:numId w:val="26"/>
        </w:numPr>
        <w:ind w:left="538" w:hanging="357"/>
        <w:rPr>
          <w:rFonts w:ascii="Times New Roman" w:hAnsi="Times New Roman"/>
        </w:rPr>
      </w:pPr>
      <w:r>
        <w:rPr>
          <w:rFonts w:ascii="Times New Roman" w:hAnsi="Times New Roman"/>
        </w:rPr>
        <w:t>на прикладном уровне – протоколы обмена сообщениями электронной почты SMTP, POP3, протоколы передачи данных HTTP, FTP.</w:t>
      </w:r>
    </w:p>
    <w:p>
      <w:pPr>
        <w:jc w:val="both"/>
      </w:pPr>
    </w:p>
    <w:p>
      <w:pPr>
        <w:jc w:val="both"/>
      </w:pPr>
      <w:r>
        <w:t>При проектировании сетей связи необходимо обеспечить возможность наращивания сетей связи путем добавления новых элементов и обеспечения мониторинга, поиска и устранения неисправностей с минимальными затратами. Сервисы сетевого оборудования должны обеспечивать сокращение затрагиваемого при возникновении неисправностей оборудования, а также баланс сетевой нагрузки.</w:t>
      </w:r>
    </w:p>
    <w:p>
      <w:pPr>
        <w:jc w:val="both"/>
      </w:pPr>
    </w:p>
    <w:p>
      <w:pPr>
        <w:jc w:val="both"/>
        <w:rPr>
          <w:bCs/>
          <w:szCs w:val="24"/>
          <w:lang w:eastAsia="ru-RU"/>
        </w:rPr>
      </w:pPr>
      <w:r>
        <w:t xml:space="preserve">Сеть связи </w:t>
      </w:r>
      <w:r>
        <w:rPr>
          <w:bCs/>
          <w:szCs w:val="24"/>
          <w:lang w:eastAsia="ru-RU"/>
        </w:rPr>
        <w:t>в интересах одного ОГ допускается организовывать, приобретая у оператора связи услуги по предоставлению L3 VPN или L2 VPN.</w:t>
      </w:r>
    </w:p>
    <w:p>
      <w:pPr>
        <w:jc w:val="both"/>
        <w:rPr>
          <w:bCs/>
          <w:szCs w:val="24"/>
          <w:lang w:eastAsia="ru-RU"/>
        </w:rPr>
      </w:pPr>
    </w:p>
    <w:p>
      <w:pPr>
        <w:jc w:val="both"/>
        <w:rPr>
          <w:bCs/>
          <w:szCs w:val="24"/>
          <w:lang w:eastAsia="ru-RU"/>
        </w:rPr>
      </w:pPr>
      <w:r>
        <w:rPr>
          <w:bCs/>
          <w:szCs w:val="24"/>
          <w:lang w:eastAsia="ru-RU"/>
        </w:rPr>
        <w:t>Технологии туннелирования IP over IP, пропуска трафика через корпоративные сети Оператора и через Internet, не обеспечивающие приоритет трафика (QоS) не допускаются.</w:t>
      </w:r>
    </w:p>
    <w:p>
      <w:pPr>
        <w:jc w:val="both"/>
        <w:rPr>
          <w:bCs/>
          <w:szCs w:val="24"/>
          <w:lang w:eastAsia="ru-RU"/>
        </w:rPr>
      </w:pPr>
    </w:p>
    <w:p>
      <w:pPr>
        <w:jc w:val="both"/>
        <w:rPr>
          <w:bCs/>
          <w:szCs w:val="24"/>
          <w:lang w:eastAsia="ru-RU"/>
        </w:rPr>
      </w:pPr>
      <w:bookmarkStart w:id="127" w:name="sub_1002"/>
      <w:r>
        <w:rPr>
          <w:bCs/>
          <w:szCs w:val="24"/>
          <w:lang w:eastAsia="ru-RU"/>
        </w:rPr>
        <w:t>8.7. Безопасность сетей связи Компании должна поддерживаться:</w:t>
      </w:r>
    </w:p>
    <w:p>
      <w:pPr>
        <w:pStyle w:val="aff5"/>
        <w:numPr>
          <w:ilvl w:val="0"/>
          <w:numId w:val="5"/>
        </w:numPr>
        <w:tabs>
          <w:tab w:val="left" w:pos="539"/>
        </w:tabs>
        <w:spacing w:before="120"/>
        <w:ind w:left="538" w:hanging="357"/>
        <w:contextualSpacing w:val="0"/>
        <w:jc w:val="both"/>
      </w:pPr>
      <w:bookmarkStart w:id="128" w:name="sub_1021"/>
      <w:bookmarkEnd w:id="127"/>
      <w:r>
        <w:t>целостностью сети связи, как способности взаимодействия входящих в ее состав сетей связи, при котором становится возможным установление соединения и (или) передача информации между пользователями услугами связи;</w:t>
      </w:r>
    </w:p>
    <w:p>
      <w:pPr>
        <w:pStyle w:val="aff5"/>
        <w:numPr>
          <w:ilvl w:val="0"/>
          <w:numId w:val="5"/>
        </w:numPr>
        <w:tabs>
          <w:tab w:val="left" w:pos="539"/>
        </w:tabs>
        <w:spacing w:before="120"/>
        <w:ind w:left="538" w:hanging="357"/>
        <w:contextualSpacing w:val="0"/>
        <w:jc w:val="both"/>
      </w:pPr>
      <w:bookmarkStart w:id="129" w:name="sub_1022"/>
      <w:bookmarkEnd w:id="128"/>
      <w:r>
        <w:t>устойчивостью сети связи, как ее способности сохранять свою целостность в условиях эксплуатации, соответствующих установленным в документации производителя условиям, при отказе части элементов сети связи и возвращаться в исходное состояние (надежность сети связи), а также в условиях внешних дестабилизирующих воздействий природного и техногенного характера (живучесть сети связи).</w:t>
      </w:r>
    </w:p>
    <w:p>
      <w:pPr>
        <w:pStyle w:val="S4"/>
        <w:widowControl/>
      </w:pPr>
    </w:p>
    <w:p>
      <w:pPr>
        <w:jc w:val="both"/>
        <w:rPr>
          <w:bCs/>
          <w:szCs w:val="24"/>
          <w:lang w:eastAsia="ru-RU"/>
        </w:rPr>
      </w:pPr>
      <w:bookmarkStart w:id="130" w:name="sub_1003"/>
      <w:bookmarkEnd w:id="129"/>
      <w:r>
        <w:rPr>
          <w:bCs/>
          <w:szCs w:val="24"/>
          <w:lang w:eastAsia="ru-RU"/>
        </w:rPr>
        <w:t>8.8. Целостность сети связи должна обеспечиваться:</w:t>
      </w:r>
    </w:p>
    <w:p>
      <w:pPr>
        <w:pStyle w:val="aff5"/>
        <w:numPr>
          <w:ilvl w:val="0"/>
          <w:numId w:val="5"/>
        </w:numPr>
        <w:tabs>
          <w:tab w:val="left" w:pos="539"/>
        </w:tabs>
        <w:spacing w:before="120"/>
        <w:ind w:left="538" w:hanging="357"/>
        <w:contextualSpacing w:val="0"/>
        <w:jc w:val="both"/>
      </w:pPr>
      <w:bookmarkStart w:id="131" w:name="sub_1031"/>
      <w:bookmarkEnd w:id="130"/>
      <w:r>
        <w:t>совместимостью протоколов взаимодействия (функциональной совместимостью) и совместимостью электрических и (или) оптических интерфейсов (физической совместимостью) оборудования связи, в том числе пользовательского (оконечного) оборудования с оборудованием инфраструктуры связи;</w:t>
      </w:r>
    </w:p>
    <w:p>
      <w:pPr>
        <w:pStyle w:val="aff5"/>
        <w:numPr>
          <w:ilvl w:val="0"/>
          <w:numId w:val="5"/>
        </w:numPr>
        <w:tabs>
          <w:tab w:val="left" w:pos="539"/>
        </w:tabs>
        <w:spacing w:before="120"/>
        <w:ind w:left="538" w:hanging="357"/>
        <w:contextualSpacing w:val="0"/>
        <w:jc w:val="both"/>
      </w:pPr>
      <w:r>
        <w:t>соответствием сети связи техническим нормам на показатели ее функционирования;</w:t>
      </w:r>
    </w:p>
    <w:p>
      <w:pPr>
        <w:pStyle w:val="aff5"/>
        <w:numPr>
          <w:ilvl w:val="0"/>
          <w:numId w:val="5"/>
        </w:numPr>
        <w:tabs>
          <w:tab w:val="left" w:pos="539"/>
        </w:tabs>
        <w:spacing w:before="120"/>
        <w:ind w:left="538" w:hanging="357"/>
        <w:contextualSpacing w:val="0"/>
        <w:jc w:val="both"/>
      </w:pPr>
      <w:bookmarkStart w:id="132" w:name="sub_1033"/>
      <w:bookmarkEnd w:id="131"/>
      <w:r>
        <w:t>единством измерений в сети связи.</w:t>
      </w:r>
    </w:p>
    <w:p>
      <w:pPr>
        <w:pStyle w:val="S4"/>
        <w:widowControl/>
      </w:pPr>
    </w:p>
    <w:p>
      <w:pPr>
        <w:jc w:val="both"/>
        <w:rPr>
          <w:bCs/>
          <w:szCs w:val="24"/>
          <w:lang w:eastAsia="ru-RU"/>
        </w:rPr>
      </w:pPr>
      <w:bookmarkStart w:id="133" w:name="sub_1004"/>
      <w:bookmarkEnd w:id="132"/>
      <w:r>
        <w:rPr>
          <w:bCs/>
          <w:szCs w:val="24"/>
          <w:lang w:eastAsia="ru-RU"/>
        </w:rPr>
        <w:t xml:space="preserve">8.9. Показатели функционирования сетей связи должны соответствовать техническим нормам, приведенным в Таблицах 1, 2. Нормы на показатели функционирования сетей связи используются при проектировании сетей связи, их соответствие в процессе эксплуатации обеспечивают подрядные (сервисные) организации под контролем </w:t>
      </w:r>
      <w:r>
        <w:rPr>
          <w:szCs w:val="24"/>
        </w:rPr>
        <w:t>ДИРБП, ДОДЦА и</w:t>
      </w:r>
      <w:r>
        <w:t xml:space="preserve"> СП ОГ, ответственными за ИТ.</w:t>
      </w:r>
    </w:p>
    <w:p>
      <w:pPr>
        <w:jc w:val="both"/>
        <w:rPr>
          <w:bCs/>
          <w:szCs w:val="24"/>
          <w:lang w:eastAsia="ru-RU"/>
        </w:rPr>
      </w:pPr>
    </w:p>
    <w:p>
      <w:pPr>
        <w:jc w:val="both"/>
        <w:rPr>
          <w:bCs/>
          <w:szCs w:val="24"/>
          <w:lang w:eastAsia="ru-RU"/>
        </w:rPr>
      </w:pPr>
    </w:p>
    <w:p>
      <w:pPr>
        <w:pStyle w:val="a9"/>
        <w:keepNext/>
        <w:keepLines/>
        <w:spacing w:before="0" w:beforeAutospacing="0" w:after="0" w:afterAutospacing="0"/>
        <w:jc w:val="right"/>
        <w:rPr>
          <w:rFonts w:ascii="Arial" w:hAnsi="Arial" w:cs="Arial"/>
          <w:b/>
          <w:sz w:val="20"/>
          <w:szCs w:val="20"/>
        </w:rPr>
      </w:pPr>
      <w:bookmarkStart w:id="134" w:name="sub_10001"/>
      <w:bookmarkStart w:id="135" w:name="sub_1005"/>
      <w:bookmarkEnd w:id="133"/>
      <w:r>
        <w:rPr>
          <w:rFonts w:ascii="Arial" w:hAnsi="Arial" w:cs="Arial"/>
          <w:b/>
          <w:sz w:val="20"/>
        </w:rPr>
        <w:lastRenderedPageBreak/>
        <w:t xml:space="preserve">Таблица </w:t>
      </w:r>
      <w:r>
        <w:rPr>
          <w:rFonts w:ascii="Arial" w:hAnsi="Arial" w:cs="Arial"/>
          <w:b/>
          <w:sz w:val="20"/>
        </w:rPr>
        <w:fldChar w:fldCharType="begin"/>
      </w:r>
      <w:r>
        <w:rPr>
          <w:rFonts w:ascii="Arial" w:hAnsi="Arial" w:cs="Arial"/>
          <w:b/>
          <w:sz w:val="20"/>
        </w:rPr>
        <w:instrText xml:space="preserve"> SEQ Таблица \* ARABIC </w:instrText>
      </w:r>
      <w:r>
        <w:rPr>
          <w:rFonts w:ascii="Arial" w:hAnsi="Arial" w:cs="Arial"/>
          <w:b/>
          <w:sz w:val="20"/>
        </w:rPr>
        <w:fldChar w:fldCharType="separate"/>
      </w:r>
      <w:r>
        <w:rPr>
          <w:rFonts w:ascii="Arial" w:hAnsi="Arial" w:cs="Arial"/>
          <w:b/>
          <w:noProof/>
          <w:sz w:val="20"/>
        </w:rPr>
        <w:t>1</w:t>
      </w:r>
      <w:r>
        <w:rPr>
          <w:rFonts w:ascii="Arial" w:hAnsi="Arial" w:cs="Arial"/>
          <w:b/>
          <w:sz w:val="20"/>
        </w:rPr>
        <w:fldChar w:fldCharType="end"/>
      </w:r>
    </w:p>
    <w:p>
      <w:pPr>
        <w:pStyle w:val="16"/>
        <w:keepNext/>
        <w:keepLines/>
        <w:spacing w:after="60"/>
        <w:jc w:val="right"/>
        <w:rPr>
          <w:rFonts w:ascii="Times New Roman" w:hAnsi="Times New Roman" w:cs="Times New Roman"/>
          <w:bCs w:val="0"/>
          <w:color w:val="26282F"/>
          <w:sz w:val="24"/>
        </w:rPr>
      </w:pPr>
      <w:r>
        <w:rPr>
          <w:rFonts w:ascii="Arial" w:hAnsi="Arial" w:cs="Arial"/>
          <w:bCs w:val="0"/>
          <w:color w:val="auto"/>
          <w:szCs w:val="20"/>
        </w:rPr>
        <w:t xml:space="preserve">Технические нормы на показатели функционирования сети </w:t>
      </w:r>
      <w:r>
        <w:rPr>
          <w:rFonts w:ascii="Arial" w:hAnsi="Arial" w:cs="Arial"/>
          <w:color w:val="auto"/>
          <w:szCs w:val="20"/>
        </w:rPr>
        <w:t>телефонной</w:t>
      </w:r>
      <w:r>
        <w:rPr>
          <w:rFonts w:ascii="Arial" w:hAnsi="Arial" w:cs="Arial"/>
          <w:bCs w:val="0"/>
          <w:color w:val="auto"/>
          <w:szCs w:val="20"/>
        </w:rPr>
        <w:t xml:space="preserve"> связи</w:t>
      </w:r>
    </w:p>
    <w:tbl>
      <w:tblPr>
        <w:tblW w:w="4945"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45"/>
        <w:gridCol w:w="6883"/>
        <w:gridCol w:w="2318"/>
      </w:tblGrid>
      <w:tr>
        <w:trPr>
          <w:tblHeader/>
        </w:trPr>
        <w:tc>
          <w:tcPr>
            <w:tcW w:w="280" w:type="pct"/>
            <w:tcBorders>
              <w:top w:val="single" w:sz="12" w:space="0" w:color="auto"/>
              <w:bottom w:val="single" w:sz="12" w:space="0" w:color="auto"/>
            </w:tcBorders>
            <w:shd w:val="clear" w:color="auto" w:fill="FFD200"/>
            <w:vAlign w:val="center"/>
          </w:tcPr>
          <w:bookmarkEnd w:id="134"/>
          <w:p>
            <w:pPr>
              <w:keepNext/>
              <w:keepLines/>
              <w:spacing w:before="20" w:after="20"/>
              <w:jc w:val="center"/>
              <w:rPr>
                <w:rFonts w:ascii="Arial" w:hAnsi="Arial" w:cs="Arial"/>
                <w:b/>
                <w:bCs/>
                <w:caps/>
                <w:sz w:val="16"/>
                <w:szCs w:val="16"/>
              </w:rPr>
            </w:pPr>
            <w:r>
              <w:rPr>
                <w:rFonts w:ascii="Arial" w:hAnsi="Arial" w:cs="Arial"/>
                <w:b/>
                <w:bCs/>
                <w:sz w:val="16"/>
                <w:szCs w:val="16"/>
              </w:rPr>
              <w:t>N</w:t>
            </w:r>
            <w:r>
              <w:rPr>
                <w:rFonts w:ascii="Arial" w:hAnsi="Arial" w:cs="Arial"/>
                <w:b/>
                <w:bCs/>
                <w:sz w:val="16"/>
                <w:szCs w:val="16"/>
              </w:rPr>
              <w:br/>
              <w:t>П/П</w:t>
            </w:r>
          </w:p>
        </w:tc>
        <w:tc>
          <w:tcPr>
            <w:tcW w:w="3531" w:type="pct"/>
            <w:tcBorders>
              <w:top w:val="single" w:sz="12" w:space="0" w:color="auto"/>
              <w:bottom w:val="single" w:sz="12" w:space="0" w:color="auto"/>
            </w:tcBorders>
            <w:shd w:val="clear" w:color="auto" w:fill="FFD200"/>
            <w:vAlign w:val="center"/>
          </w:tcPr>
          <w:p>
            <w:pPr>
              <w:keepNext/>
              <w:keepLines/>
              <w:spacing w:before="20" w:after="20"/>
              <w:jc w:val="center"/>
              <w:rPr>
                <w:rFonts w:ascii="Arial" w:hAnsi="Arial" w:cs="Arial"/>
                <w:b/>
                <w:bCs/>
                <w:caps/>
                <w:sz w:val="16"/>
                <w:szCs w:val="16"/>
              </w:rPr>
            </w:pPr>
            <w:r>
              <w:rPr>
                <w:rFonts w:ascii="Arial" w:hAnsi="Arial" w:cs="Arial"/>
                <w:b/>
                <w:bCs/>
                <w:sz w:val="16"/>
                <w:szCs w:val="16"/>
              </w:rPr>
              <w:t>НАИМЕНОВАНИЕ ПОКАЗАТЕЛЯ</w:t>
            </w:r>
          </w:p>
        </w:tc>
        <w:tc>
          <w:tcPr>
            <w:tcW w:w="1189" w:type="pct"/>
            <w:tcBorders>
              <w:top w:val="single" w:sz="12" w:space="0" w:color="auto"/>
              <w:bottom w:val="single" w:sz="12" w:space="0" w:color="auto"/>
            </w:tcBorders>
            <w:shd w:val="clear" w:color="auto" w:fill="FFD200"/>
            <w:vAlign w:val="center"/>
          </w:tcPr>
          <w:p>
            <w:pPr>
              <w:keepNext/>
              <w:keepLines/>
              <w:spacing w:before="20" w:after="20"/>
              <w:jc w:val="center"/>
              <w:rPr>
                <w:rFonts w:ascii="Arial" w:hAnsi="Arial" w:cs="Arial"/>
                <w:b/>
                <w:bCs/>
                <w:caps/>
                <w:sz w:val="16"/>
                <w:szCs w:val="16"/>
              </w:rPr>
            </w:pPr>
            <w:r>
              <w:rPr>
                <w:rFonts w:ascii="Arial" w:hAnsi="Arial" w:cs="Arial"/>
                <w:b/>
                <w:bCs/>
                <w:sz w:val="16"/>
                <w:szCs w:val="16"/>
              </w:rPr>
              <w:t>НОРМА</w:t>
            </w:r>
          </w:p>
          <w:p>
            <w:pPr>
              <w:keepNext/>
              <w:keepLines/>
              <w:spacing w:before="20" w:after="20"/>
              <w:jc w:val="center"/>
              <w:rPr>
                <w:rFonts w:ascii="Arial" w:hAnsi="Arial" w:cs="Arial"/>
                <w:b/>
                <w:bCs/>
                <w:caps/>
                <w:sz w:val="16"/>
                <w:szCs w:val="16"/>
              </w:rPr>
            </w:pPr>
            <w:r>
              <w:rPr>
                <w:rFonts w:ascii="Arial" w:hAnsi="Arial" w:cs="Arial"/>
                <w:b/>
                <w:bCs/>
                <w:sz w:val="16"/>
                <w:szCs w:val="16"/>
              </w:rPr>
              <w:t>(В ЧАС НАИБОЛЬШЕЙ НАГРУЗКИ)</w:t>
            </w:r>
          </w:p>
        </w:tc>
      </w:tr>
      <w:tr>
        <w:trPr>
          <w:tblHeader/>
        </w:trPr>
        <w:tc>
          <w:tcPr>
            <w:tcW w:w="280"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1</w:t>
            </w:r>
          </w:p>
        </w:tc>
        <w:tc>
          <w:tcPr>
            <w:tcW w:w="3531"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2</w:t>
            </w:r>
          </w:p>
        </w:tc>
        <w:tc>
          <w:tcPr>
            <w:tcW w:w="1189"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3</w:t>
            </w:r>
          </w:p>
        </w:tc>
      </w:tr>
      <w:tr>
        <w:tc>
          <w:tcPr>
            <w:tcW w:w="280" w:type="pct"/>
            <w:vMerge w:val="restart"/>
            <w:tcBorders>
              <w:top w:val="single" w:sz="12" w:space="0" w:color="auto"/>
            </w:tcBorders>
          </w:tcPr>
          <w:p>
            <w:pPr>
              <w:pStyle w:val="S4"/>
              <w:widowControl/>
              <w:jc w:val="left"/>
            </w:pPr>
            <w:bookmarkStart w:id="136" w:name="sub_10011"/>
            <w:r>
              <w:t>1</w:t>
            </w:r>
            <w:bookmarkEnd w:id="136"/>
          </w:p>
        </w:tc>
        <w:tc>
          <w:tcPr>
            <w:tcW w:w="3531" w:type="pct"/>
            <w:tcBorders>
              <w:top w:val="single" w:sz="12" w:space="0" w:color="auto"/>
            </w:tcBorders>
          </w:tcPr>
          <w:p>
            <w:pPr>
              <w:pStyle w:val="S4"/>
              <w:widowControl/>
            </w:pPr>
            <w:r>
              <w:t>Доля несостоявшихся вызовов из-за технических неисправностей или перегрузки сети связи в общем количестве попыток вызовов (потери вызовов) при установлении соединений:</w:t>
            </w:r>
          </w:p>
        </w:tc>
        <w:tc>
          <w:tcPr>
            <w:tcW w:w="1189" w:type="pct"/>
            <w:vMerge w:val="restart"/>
            <w:tcBorders>
              <w:top w:val="single" w:sz="12" w:space="0" w:color="auto"/>
            </w:tcBorders>
          </w:tcPr>
          <w:p>
            <w:pPr>
              <w:pStyle w:val="S4"/>
              <w:widowControl/>
              <w:jc w:val="left"/>
            </w:pPr>
            <w:r>
              <w:t>не более 2%</w:t>
            </w:r>
          </w:p>
        </w:tc>
      </w:tr>
      <w:tr>
        <w:tc>
          <w:tcPr>
            <w:tcW w:w="280" w:type="pct"/>
            <w:vMerge/>
          </w:tcPr>
          <w:p>
            <w:pPr>
              <w:pStyle w:val="S4"/>
              <w:widowControl/>
              <w:jc w:val="left"/>
            </w:pPr>
          </w:p>
        </w:tc>
        <w:tc>
          <w:tcPr>
            <w:tcW w:w="3531" w:type="pct"/>
          </w:tcPr>
          <w:p>
            <w:pPr>
              <w:pStyle w:val="S4"/>
              <w:widowControl/>
              <w:numPr>
                <w:ilvl w:val="0"/>
                <w:numId w:val="23"/>
              </w:numPr>
              <w:spacing w:before="120"/>
              <w:ind w:left="538" w:hanging="357"/>
            </w:pPr>
            <w:r>
              <w:t>в сети телефонной связи;</w:t>
            </w:r>
          </w:p>
        </w:tc>
        <w:tc>
          <w:tcPr>
            <w:tcW w:w="1189" w:type="pct"/>
            <w:vMerge/>
          </w:tcPr>
          <w:p>
            <w:pPr>
              <w:pStyle w:val="S4"/>
              <w:widowControl/>
              <w:jc w:val="left"/>
            </w:pPr>
          </w:p>
        </w:tc>
      </w:tr>
      <w:tr>
        <w:tc>
          <w:tcPr>
            <w:tcW w:w="280" w:type="pct"/>
            <w:vMerge/>
          </w:tcPr>
          <w:p>
            <w:pPr>
              <w:pStyle w:val="S4"/>
              <w:widowControl/>
              <w:jc w:val="left"/>
            </w:pPr>
          </w:p>
        </w:tc>
        <w:tc>
          <w:tcPr>
            <w:tcW w:w="3531" w:type="pct"/>
          </w:tcPr>
          <w:p>
            <w:pPr>
              <w:pStyle w:val="S4"/>
              <w:widowControl/>
              <w:numPr>
                <w:ilvl w:val="0"/>
                <w:numId w:val="23"/>
              </w:numPr>
              <w:ind w:left="538" w:hanging="357"/>
            </w:pPr>
            <w:r>
              <w:t>в сети подвижной радиотелефонной связи;</w:t>
            </w:r>
          </w:p>
        </w:tc>
        <w:tc>
          <w:tcPr>
            <w:tcW w:w="1189" w:type="pct"/>
          </w:tcPr>
          <w:p>
            <w:pPr>
              <w:pStyle w:val="S4"/>
              <w:widowControl/>
              <w:jc w:val="left"/>
            </w:pPr>
            <w:r>
              <w:t>не более 5%</w:t>
            </w:r>
          </w:p>
        </w:tc>
      </w:tr>
      <w:tr>
        <w:tc>
          <w:tcPr>
            <w:tcW w:w="280" w:type="pct"/>
            <w:vMerge/>
          </w:tcPr>
          <w:p>
            <w:pPr>
              <w:pStyle w:val="S4"/>
              <w:widowControl/>
              <w:jc w:val="left"/>
            </w:pPr>
          </w:p>
        </w:tc>
        <w:tc>
          <w:tcPr>
            <w:tcW w:w="3531" w:type="pct"/>
          </w:tcPr>
          <w:p>
            <w:pPr>
              <w:pStyle w:val="S4"/>
              <w:widowControl/>
              <w:numPr>
                <w:ilvl w:val="0"/>
                <w:numId w:val="23"/>
              </w:numPr>
              <w:ind w:left="538" w:hanging="357"/>
            </w:pPr>
            <w:r>
              <w:t>с узлом обеспечения вызова экстренных оперативных служб</w:t>
            </w:r>
          </w:p>
        </w:tc>
        <w:tc>
          <w:tcPr>
            <w:tcW w:w="1189" w:type="pct"/>
          </w:tcPr>
          <w:p>
            <w:pPr>
              <w:pStyle w:val="S4"/>
              <w:widowControl/>
              <w:jc w:val="left"/>
            </w:pPr>
            <w:r>
              <w:t>не более 0,1%</w:t>
            </w:r>
          </w:p>
        </w:tc>
      </w:tr>
      <w:tr>
        <w:tc>
          <w:tcPr>
            <w:tcW w:w="280" w:type="pct"/>
          </w:tcPr>
          <w:p>
            <w:pPr>
              <w:pStyle w:val="S4"/>
              <w:widowControl/>
              <w:jc w:val="left"/>
            </w:pPr>
            <w:r>
              <w:t>2</w:t>
            </w:r>
          </w:p>
        </w:tc>
        <w:tc>
          <w:tcPr>
            <w:tcW w:w="3531" w:type="pct"/>
          </w:tcPr>
          <w:p>
            <w:pPr>
              <w:pStyle w:val="S4"/>
              <w:widowControl/>
            </w:pPr>
            <w:r>
              <w:t>Время с начала передачи информации о занятии абонентской линии до момента получения пользовательским (оконечным) оборудованием от оконечного узла связи сети телефонной связи сигнала готовности к приему номера (время отклика)</w:t>
            </w:r>
          </w:p>
        </w:tc>
        <w:tc>
          <w:tcPr>
            <w:tcW w:w="1189" w:type="pct"/>
          </w:tcPr>
          <w:p>
            <w:pPr>
              <w:pStyle w:val="S4"/>
              <w:widowControl/>
              <w:jc w:val="left"/>
            </w:pPr>
            <w:r>
              <w:t>не более 2 с</w:t>
            </w:r>
          </w:p>
        </w:tc>
      </w:tr>
      <w:tr>
        <w:tc>
          <w:tcPr>
            <w:tcW w:w="280" w:type="pct"/>
          </w:tcPr>
          <w:p>
            <w:pPr>
              <w:pStyle w:val="S4"/>
              <w:widowControl/>
              <w:jc w:val="left"/>
            </w:pPr>
            <w:bookmarkStart w:id="137" w:name="sub_1013"/>
            <w:r>
              <w:t>3</w:t>
            </w:r>
            <w:bookmarkEnd w:id="137"/>
          </w:p>
        </w:tc>
        <w:tc>
          <w:tcPr>
            <w:tcW w:w="3531" w:type="pct"/>
          </w:tcPr>
          <w:p>
            <w:pPr>
              <w:pStyle w:val="S4"/>
              <w:widowControl/>
            </w:pPr>
            <w:r>
              <w:t>Время с момента, когда пользовательское (оконечное) оборудование вызывающего абонента или пользователя услугой связи передало всю информацию, необходимую для установления соединения, до момента, когда это оборудование получило от узла связи сигнал о состоянии пользовательского (оконечного) оборудования вызываемого абонента или пользователя услугой связи (время установления соединения) в сети телефонной связи</w:t>
            </w:r>
          </w:p>
        </w:tc>
        <w:tc>
          <w:tcPr>
            <w:tcW w:w="1189" w:type="pct"/>
          </w:tcPr>
          <w:p>
            <w:pPr>
              <w:pStyle w:val="S4"/>
              <w:widowControl/>
              <w:jc w:val="left"/>
            </w:pPr>
            <w:r>
              <w:t>не более 2,7 с</w:t>
            </w:r>
          </w:p>
        </w:tc>
      </w:tr>
      <w:tr>
        <w:tc>
          <w:tcPr>
            <w:tcW w:w="280" w:type="pct"/>
          </w:tcPr>
          <w:p>
            <w:pPr>
              <w:pStyle w:val="S4"/>
              <w:widowControl/>
              <w:jc w:val="left"/>
            </w:pPr>
            <w:bookmarkStart w:id="138" w:name="sub_1014"/>
            <w:r>
              <w:t>4</w:t>
            </w:r>
            <w:bookmarkEnd w:id="138"/>
          </w:p>
        </w:tc>
        <w:tc>
          <w:tcPr>
            <w:tcW w:w="3531" w:type="pct"/>
          </w:tcPr>
          <w:p>
            <w:pPr>
              <w:pStyle w:val="S4"/>
              <w:widowControl/>
            </w:pPr>
            <w:r>
              <w:t>Время с момента получения пользовательским (оконечным) оборудованием вызывающего абонента или пользователя услугой связи от узла связи сети телефонной связи информации об ответе от пользовательского (оконечного) оборудования вызываемого абонента или пользователя услугой связи до момента установления соединения между пользовательским (оконечным) оборудованием вызывающего и вызываемого абонента или пользователя услугой связи (время выполнения соединения) в сети телефонной связи</w:t>
            </w:r>
          </w:p>
        </w:tc>
        <w:tc>
          <w:tcPr>
            <w:tcW w:w="1189" w:type="pct"/>
          </w:tcPr>
          <w:p>
            <w:pPr>
              <w:pStyle w:val="S4"/>
              <w:widowControl/>
              <w:jc w:val="left"/>
            </w:pPr>
            <w:r>
              <w:t>не более 1 с</w:t>
            </w:r>
          </w:p>
        </w:tc>
      </w:tr>
      <w:tr>
        <w:tc>
          <w:tcPr>
            <w:tcW w:w="280" w:type="pct"/>
          </w:tcPr>
          <w:p>
            <w:pPr>
              <w:pStyle w:val="S4"/>
              <w:widowControl/>
              <w:jc w:val="left"/>
            </w:pPr>
            <w:bookmarkStart w:id="139" w:name="sub_1015"/>
            <w:r>
              <w:t>5</w:t>
            </w:r>
            <w:bookmarkEnd w:id="139"/>
          </w:p>
        </w:tc>
        <w:tc>
          <w:tcPr>
            <w:tcW w:w="3531" w:type="pct"/>
          </w:tcPr>
          <w:p>
            <w:pPr>
              <w:pStyle w:val="S4"/>
              <w:widowControl/>
            </w:pPr>
            <w:r>
              <w:t>Время с момента, когда пользовательское (оконечное) оборудование абонента или пользователя услугой связи начало передавать узлу связи сети местной телефонной связи информацию, необходимую для разъединения, до момента, когда это оборудование переходит в состояние готовности к установлению нового соединения (время разъединения)</w:t>
            </w:r>
          </w:p>
        </w:tc>
        <w:tc>
          <w:tcPr>
            <w:tcW w:w="1189" w:type="pct"/>
          </w:tcPr>
          <w:p>
            <w:pPr>
              <w:pStyle w:val="S4"/>
              <w:widowControl/>
              <w:jc w:val="left"/>
            </w:pPr>
            <w:r>
              <w:t>не более 1 с</w:t>
            </w:r>
          </w:p>
        </w:tc>
      </w:tr>
    </w:tbl>
    <w:p>
      <w:pPr>
        <w:pStyle w:val="Sf5"/>
        <w:widowControl/>
      </w:pPr>
    </w:p>
    <w:p>
      <w:pPr>
        <w:pStyle w:val="Sf5"/>
        <w:widowControl/>
      </w:pPr>
      <w:r>
        <w:t>Примечание:</w:t>
      </w:r>
      <w:r>
        <w:rPr>
          <w:u w:val="none"/>
        </w:rPr>
        <w:t xml:space="preserve"> вероятность превышения значений, указанных в строках 2 - 5, не должна превышать 0,05.</w:t>
      </w:r>
    </w:p>
    <w:p>
      <w:pPr>
        <w:pStyle w:val="S4"/>
        <w:widowControl/>
      </w:pPr>
      <w:bookmarkStart w:id="140" w:name="sub_10003"/>
    </w:p>
    <w:p>
      <w:pPr>
        <w:jc w:val="both"/>
        <w:rPr>
          <w:szCs w:val="24"/>
        </w:rPr>
      </w:pPr>
      <w:r>
        <w:rPr>
          <w:szCs w:val="24"/>
        </w:rPr>
        <w:t xml:space="preserve">8.10. Функциональная и физическая совместимость оборудования </w:t>
      </w:r>
      <w:r>
        <w:rPr>
          <w:bCs/>
          <w:szCs w:val="24"/>
          <w:lang w:eastAsia="ru-RU"/>
        </w:rPr>
        <w:t xml:space="preserve">сетей связи </w:t>
      </w:r>
      <w:r>
        <w:rPr>
          <w:szCs w:val="24"/>
        </w:rPr>
        <w:t>обеспечивается выполнением требований, установленных в правилах применения каждого средства связи. Копии документов, подтверждающих соответствие средств связи, используемых в сети связи, установленным требованиям, должны храниться в течение всего срока эксплуатации этих средств связи.</w:t>
      </w:r>
    </w:p>
    <w:p>
      <w:pPr>
        <w:pStyle w:val="S4"/>
        <w:widowControl/>
      </w:pPr>
    </w:p>
    <w:p>
      <w:pPr>
        <w:pStyle w:val="a9"/>
        <w:spacing w:before="0" w:beforeAutospacing="0" w:after="0" w:afterAutospacing="0"/>
        <w:jc w:val="right"/>
        <w:rPr>
          <w:rFonts w:ascii="Arial" w:hAnsi="Arial" w:cs="Arial"/>
          <w:b/>
          <w:sz w:val="20"/>
        </w:rPr>
      </w:pPr>
      <w:r>
        <w:rPr>
          <w:rFonts w:ascii="Arial" w:hAnsi="Arial" w:cs="Arial"/>
          <w:b/>
          <w:sz w:val="20"/>
        </w:rPr>
        <w:lastRenderedPageBreak/>
        <w:t xml:space="preserve">Таблица </w:t>
      </w:r>
      <w:r>
        <w:rPr>
          <w:rFonts w:ascii="Arial" w:hAnsi="Arial" w:cs="Arial"/>
          <w:b/>
          <w:sz w:val="20"/>
        </w:rPr>
        <w:fldChar w:fldCharType="begin"/>
      </w:r>
      <w:r>
        <w:rPr>
          <w:rFonts w:ascii="Arial" w:hAnsi="Arial" w:cs="Arial"/>
          <w:b/>
          <w:sz w:val="20"/>
        </w:rPr>
        <w:instrText xml:space="preserve"> SEQ Таблица \* ARABIC </w:instrText>
      </w:r>
      <w:r>
        <w:rPr>
          <w:rFonts w:ascii="Arial" w:hAnsi="Arial" w:cs="Arial"/>
          <w:b/>
          <w:sz w:val="20"/>
        </w:rPr>
        <w:fldChar w:fldCharType="separate"/>
      </w:r>
      <w:r>
        <w:rPr>
          <w:rFonts w:ascii="Arial" w:hAnsi="Arial" w:cs="Arial"/>
          <w:b/>
          <w:noProof/>
          <w:sz w:val="20"/>
        </w:rPr>
        <w:t>2</w:t>
      </w:r>
      <w:r>
        <w:rPr>
          <w:rFonts w:ascii="Arial" w:hAnsi="Arial" w:cs="Arial"/>
          <w:b/>
          <w:sz w:val="20"/>
        </w:rPr>
        <w:fldChar w:fldCharType="end"/>
      </w:r>
    </w:p>
    <w:p>
      <w:pPr>
        <w:pStyle w:val="S8"/>
        <w:widowControl/>
        <w:spacing w:after="60"/>
      </w:pPr>
      <w:r>
        <w:t>Технические нормы на показатели функционирования сетей передачи данных</w:t>
      </w:r>
    </w:p>
    <w:tbl>
      <w:tblPr>
        <w:tblW w:w="4945"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91"/>
        <w:gridCol w:w="1611"/>
        <w:gridCol w:w="1701"/>
        <w:gridCol w:w="1847"/>
        <w:gridCol w:w="1267"/>
        <w:gridCol w:w="1269"/>
        <w:gridCol w:w="1560"/>
      </w:tblGrid>
      <w:tr>
        <w:trPr>
          <w:trHeight w:val="280"/>
          <w:tblHeader/>
        </w:trPr>
        <w:tc>
          <w:tcPr>
            <w:tcW w:w="196" w:type="pct"/>
            <w:vMerge w:val="restart"/>
            <w:tcBorders>
              <w:top w:val="single" w:sz="12" w:space="0" w:color="auto"/>
              <w:bottom w:val="single" w:sz="6" w:space="0" w:color="auto"/>
            </w:tcBorders>
            <w:shd w:val="clear" w:color="auto" w:fill="FFD200"/>
            <w:vAlign w:val="center"/>
          </w:tcPr>
          <w:bookmarkEnd w:id="140"/>
          <w:p>
            <w:pPr>
              <w:spacing w:before="20" w:after="20"/>
              <w:jc w:val="center"/>
              <w:rPr>
                <w:rFonts w:ascii="Arial" w:hAnsi="Arial" w:cs="Arial"/>
                <w:b/>
                <w:bCs/>
                <w:caps/>
                <w:sz w:val="16"/>
                <w:szCs w:val="16"/>
              </w:rPr>
            </w:pPr>
            <w:r>
              <w:rPr>
                <w:rFonts w:ascii="Arial" w:hAnsi="Arial" w:cs="Arial"/>
                <w:b/>
                <w:bCs/>
                <w:sz w:val="16"/>
                <w:szCs w:val="16"/>
              </w:rPr>
              <w:t>N</w:t>
            </w:r>
            <w:r>
              <w:rPr>
                <w:rFonts w:ascii="Arial" w:hAnsi="Arial" w:cs="Arial"/>
                <w:b/>
                <w:bCs/>
                <w:sz w:val="16"/>
                <w:szCs w:val="16"/>
              </w:rPr>
              <w:br/>
              <w:t>П/П</w:t>
            </w:r>
          </w:p>
        </w:tc>
        <w:tc>
          <w:tcPr>
            <w:tcW w:w="826" w:type="pct"/>
            <w:vMerge w:val="restart"/>
            <w:tcBorders>
              <w:top w:val="single" w:sz="12" w:space="0" w:color="auto"/>
              <w:bottom w:val="single" w:sz="6"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НАИМЕНОВАНИЕ ПОКАЗАТЕЛЯ</w:t>
            </w:r>
          </w:p>
        </w:tc>
        <w:tc>
          <w:tcPr>
            <w:tcW w:w="3977" w:type="pct"/>
            <w:gridSpan w:val="5"/>
            <w:tcBorders>
              <w:top w:val="single" w:sz="12" w:space="0" w:color="auto"/>
              <w:bottom w:val="single" w:sz="6"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ТИП ТРАФИКА</w:t>
            </w:r>
          </w:p>
        </w:tc>
      </w:tr>
      <w:tr>
        <w:trPr>
          <w:trHeight w:val="869"/>
          <w:tblHeader/>
        </w:trPr>
        <w:tc>
          <w:tcPr>
            <w:tcW w:w="196" w:type="pct"/>
            <w:vMerge/>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p>
        </w:tc>
        <w:tc>
          <w:tcPr>
            <w:tcW w:w="826" w:type="pct"/>
            <w:vMerge/>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p>
        </w:tc>
        <w:tc>
          <w:tcPr>
            <w:tcW w:w="884" w:type="pct"/>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4"/>
                <w:szCs w:val="14"/>
              </w:rPr>
            </w:pPr>
            <w:r>
              <w:rPr>
                <w:rFonts w:ascii="Arial" w:hAnsi="Arial" w:cs="Arial"/>
                <w:b/>
                <w:bCs/>
                <w:sz w:val="14"/>
                <w:szCs w:val="14"/>
              </w:rPr>
              <w:t>ИНТЕРАКТИВНЫЙ</w:t>
            </w:r>
          </w:p>
        </w:tc>
        <w:tc>
          <w:tcPr>
            <w:tcW w:w="959" w:type="pct"/>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4"/>
                <w:szCs w:val="14"/>
              </w:rPr>
            </w:pPr>
            <w:r>
              <w:rPr>
                <w:rFonts w:ascii="Arial" w:hAnsi="Arial" w:cs="Arial"/>
                <w:b/>
                <w:bCs/>
                <w:sz w:val="14"/>
                <w:szCs w:val="14"/>
              </w:rPr>
              <w:t>ИНТЕРАКТИВНЫЙ</w:t>
            </w:r>
          </w:p>
          <w:p>
            <w:pPr>
              <w:spacing w:before="20" w:after="20"/>
              <w:jc w:val="center"/>
              <w:rPr>
                <w:rFonts w:ascii="Arial" w:hAnsi="Arial" w:cs="Arial"/>
                <w:b/>
                <w:bCs/>
                <w:caps/>
                <w:sz w:val="14"/>
                <w:szCs w:val="14"/>
              </w:rPr>
            </w:pPr>
            <w:r>
              <w:rPr>
                <w:rFonts w:ascii="Arial" w:hAnsi="Arial" w:cs="Arial"/>
                <w:b/>
                <w:bCs/>
                <w:sz w:val="14"/>
                <w:szCs w:val="14"/>
              </w:rPr>
              <w:t>(СПУТНИКОВЫЕ ЛИНИИ СВЯЗИ)</w:t>
            </w:r>
          </w:p>
        </w:tc>
        <w:tc>
          <w:tcPr>
            <w:tcW w:w="661" w:type="pct"/>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4"/>
                <w:szCs w:val="14"/>
              </w:rPr>
            </w:pPr>
            <w:r>
              <w:rPr>
                <w:rFonts w:ascii="Arial" w:hAnsi="Arial" w:cs="Arial"/>
                <w:b/>
                <w:bCs/>
                <w:sz w:val="14"/>
                <w:szCs w:val="14"/>
              </w:rPr>
              <w:t>СИГНАЛЬНЫЙ</w:t>
            </w:r>
          </w:p>
        </w:tc>
        <w:tc>
          <w:tcPr>
            <w:tcW w:w="662" w:type="pct"/>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4"/>
                <w:szCs w:val="14"/>
              </w:rPr>
            </w:pPr>
            <w:r>
              <w:rPr>
                <w:rFonts w:ascii="Arial" w:hAnsi="Arial" w:cs="Arial"/>
                <w:b/>
                <w:bCs/>
                <w:sz w:val="14"/>
                <w:szCs w:val="14"/>
              </w:rPr>
              <w:t>ПОТОКОВЫЙ</w:t>
            </w:r>
          </w:p>
        </w:tc>
        <w:tc>
          <w:tcPr>
            <w:tcW w:w="811" w:type="pct"/>
            <w:tcBorders>
              <w:top w:val="single" w:sz="6" w:space="0" w:color="auto"/>
              <w:bottom w:val="single" w:sz="12" w:space="0" w:color="auto"/>
            </w:tcBorders>
            <w:shd w:val="clear" w:color="auto" w:fill="FFD200"/>
            <w:vAlign w:val="center"/>
          </w:tcPr>
          <w:p>
            <w:pPr>
              <w:spacing w:before="20" w:after="20"/>
              <w:jc w:val="center"/>
              <w:rPr>
                <w:rFonts w:ascii="Arial" w:hAnsi="Arial" w:cs="Arial"/>
                <w:b/>
                <w:bCs/>
                <w:caps/>
                <w:sz w:val="14"/>
                <w:szCs w:val="14"/>
              </w:rPr>
            </w:pPr>
            <w:r>
              <w:rPr>
                <w:rFonts w:ascii="Arial" w:hAnsi="Arial" w:cs="Arial"/>
                <w:b/>
                <w:bCs/>
                <w:sz w:val="14"/>
                <w:szCs w:val="14"/>
              </w:rPr>
              <w:t>ПЕРЕДАЧА ДАННЫХ</w:t>
            </w:r>
          </w:p>
        </w:tc>
      </w:tr>
      <w:tr>
        <w:trPr>
          <w:trHeight w:val="257"/>
          <w:tblHeader/>
        </w:trPr>
        <w:tc>
          <w:tcPr>
            <w:tcW w:w="196"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1</w:t>
            </w:r>
          </w:p>
        </w:tc>
        <w:tc>
          <w:tcPr>
            <w:tcW w:w="826"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2</w:t>
            </w:r>
          </w:p>
        </w:tc>
        <w:tc>
          <w:tcPr>
            <w:tcW w:w="884"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3</w:t>
            </w:r>
          </w:p>
        </w:tc>
        <w:tc>
          <w:tcPr>
            <w:tcW w:w="959"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4</w:t>
            </w:r>
          </w:p>
        </w:tc>
        <w:tc>
          <w:tcPr>
            <w:tcW w:w="661"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5</w:t>
            </w:r>
          </w:p>
        </w:tc>
        <w:tc>
          <w:tcPr>
            <w:tcW w:w="662"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6</w:t>
            </w:r>
          </w:p>
        </w:tc>
        <w:tc>
          <w:tcPr>
            <w:tcW w:w="811"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sz w:val="16"/>
                <w:szCs w:val="16"/>
              </w:rPr>
              <w:t>7</w:t>
            </w:r>
          </w:p>
        </w:tc>
      </w:tr>
      <w:tr>
        <w:tc>
          <w:tcPr>
            <w:tcW w:w="196" w:type="pct"/>
            <w:tcBorders>
              <w:top w:val="single" w:sz="12" w:space="0" w:color="auto"/>
            </w:tcBorders>
          </w:tcPr>
          <w:p>
            <w:pPr>
              <w:pStyle w:val="S4"/>
              <w:widowControl/>
              <w:jc w:val="left"/>
              <w:rPr>
                <w:sz w:val="20"/>
                <w:szCs w:val="20"/>
              </w:rPr>
            </w:pPr>
            <w:r>
              <w:rPr>
                <w:sz w:val="20"/>
                <w:szCs w:val="20"/>
              </w:rPr>
              <w:t>1</w:t>
            </w:r>
          </w:p>
        </w:tc>
        <w:tc>
          <w:tcPr>
            <w:tcW w:w="826" w:type="pct"/>
            <w:tcBorders>
              <w:top w:val="single" w:sz="12" w:space="0" w:color="auto"/>
            </w:tcBorders>
          </w:tcPr>
          <w:p>
            <w:pPr>
              <w:pStyle w:val="S4"/>
              <w:widowControl/>
              <w:rPr>
                <w:sz w:val="20"/>
                <w:szCs w:val="20"/>
              </w:rPr>
            </w:pPr>
            <w:r>
              <w:rPr>
                <w:sz w:val="20"/>
                <w:szCs w:val="20"/>
              </w:rPr>
              <w:t>Средняя задержка передачи пакетов информации (мс)</w:t>
            </w:r>
          </w:p>
        </w:tc>
        <w:tc>
          <w:tcPr>
            <w:tcW w:w="884" w:type="pct"/>
            <w:tcBorders>
              <w:top w:val="single" w:sz="12" w:space="0" w:color="auto"/>
            </w:tcBorders>
          </w:tcPr>
          <w:p>
            <w:pPr>
              <w:pStyle w:val="S4"/>
              <w:widowControl/>
              <w:jc w:val="left"/>
              <w:rPr>
                <w:sz w:val="20"/>
                <w:szCs w:val="20"/>
              </w:rPr>
            </w:pPr>
            <w:r>
              <w:rPr>
                <w:sz w:val="20"/>
                <w:szCs w:val="20"/>
              </w:rPr>
              <w:t>не более</w:t>
            </w:r>
            <w:r>
              <w:rPr>
                <w:sz w:val="20"/>
                <w:szCs w:val="20"/>
              </w:rPr>
              <w:br/>
              <w:t>100</w:t>
            </w:r>
          </w:p>
        </w:tc>
        <w:tc>
          <w:tcPr>
            <w:tcW w:w="959" w:type="pct"/>
            <w:tcBorders>
              <w:top w:val="single" w:sz="12" w:space="0" w:color="auto"/>
            </w:tcBorders>
          </w:tcPr>
          <w:p>
            <w:pPr>
              <w:pStyle w:val="S4"/>
              <w:widowControl/>
              <w:jc w:val="left"/>
              <w:rPr>
                <w:sz w:val="20"/>
                <w:szCs w:val="20"/>
              </w:rPr>
            </w:pPr>
            <w:r>
              <w:rPr>
                <w:sz w:val="20"/>
                <w:szCs w:val="20"/>
              </w:rPr>
              <w:t>не более</w:t>
            </w:r>
            <w:r>
              <w:rPr>
                <w:sz w:val="20"/>
                <w:szCs w:val="20"/>
              </w:rPr>
              <w:br/>
              <w:t>400</w:t>
            </w:r>
          </w:p>
        </w:tc>
        <w:tc>
          <w:tcPr>
            <w:tcW w:w="661" w:type="pct"/>
            <w:tcBorders>
              <w:top w:val="single" w:sz="12" w:space="0" w:color="auto"/>
            </w:tcBorders>
          </w:tcPr>
          <w:p>
            <w:pPr>
              <w:pStyle w:val="S4"/>
              <w:widowControl/>
              <w:jc w:val="left"/>
              <w:rPr>
                <w:sz w:val="20"/>
                <w:szCs w:val="20"/>
              </w:rPr>
            </w:pPr>
            <w:r>
              <w:rPr>
                <w:sz w:val="20"/>
                <w:szCs w:val="20"/>
              </w:rPr>
              <w:t>не более</w:t>
            </w:r>
            <w:r>
              <w:rPr>
                <w:sz w:val="20"/>
                <w:szCs w:val="20"/>
              </w:rPr>
              <w:br/>
              <w:t>100</w:t>
            </w:r>
          </w:p>
        </w:tc>
        <w:tc>
          <w:tcPr>
            <w:tcW w:w="662" w:type="pct"/>
            <w:tcBorders>
              <w:top w:val="single" w:sz="12" w:space="0" w:color="auto"/>
            </w:tcBorders>
          </w:tcPr>
          <w:p>
            <w:pPr>
              <w:pStyle w:val="S4"/>
              <w:widowControl/>
              <w:jc w:val="left"/>
              <w:rPr>
                <w:sz w:val="20"/>
                <w:szCs w:val="20"/>
              </w:rPr>
            </w:pPr>
            <w:r>
              <w:rPr>
                <w:sz w:val="20"/>
                <w:szCs w:val="20"/>
              </w:rPr>
              <w:t>не более</w:t>
            </w:r>
            <w:r>
              <w:rPr>
                <w:sz w:val="20"/>
                <w:szCs w:val="20"/>
              </w:rPr>
              <w:br/>
              <w:t>400</w:t>
            </w:r>
          </w:p>
        </w:tc>
        <w:tc>
          <w:tcPr>
            <w:tcW w:w="811" w:type="pct"/>
            <w:tcBorders>
              <w:top w:val="single" w:sz="12" w:space="0" w:color="auto"/>
            </w:tcBorders>
          </w:tcPr>
          <w:p>
            <w:pPr>
              <w:pStyle w:val="S4"/>
              <w:widowControl/>
              <w:jc w:val="left"/>
              <w:rPr>
                <w:sz w:val="20"/>
                <w:szCs w:val="20"/>
              </w:rPr>
            </w:pPr>
            <w:r>
              <w:rPr>
                <w:sz w:val="20"/>
                <w:szCs w:val="20"/>
              </w:rPr>
              <w:t>не более</w:t>
            </w:r>
            <w:r>
              <w:rPr>
                <w:sz w:val="20"/>
                <w:szCs w:val="20"/>
              </w:rPr>
              <w:br/>
              <w:t>1000</w:t>
            </w:r>
          </w:p>
        </w:tc>
      </w:tr>
      <w:tr>
        <w:tc>
          <w:tcPr>
            <w:tcW w:w="196" w:type="pct"/>
          </w:tcPr>
          <w:p>
            <w:pPr>
              <w:pStyle w:val="S4"/>
              <w:widowControl/>
              <w:jc w:val="left"/>
              <w:rPr>
                <w:sz w:val="20"/>
                <w:szCs w:val="20"/>
              </w:rPr>
            </w:pPr>
            <w:r>
              <w:rPr>
                <w:sz w:val="20"/>
                <w:szCs w:val="20"/>
              </w:rPr>
              <w:t>2</w:t>
            </w:r>
          </w:p>
        </w:tc>
        <w:tc>
          <w:tcPr>
            <w:tcW w:w="826" w:type="pct"/>
          </w:tcPr>
          <w:p>
            <w:pPr>
              <w:pStyle w:val="S4"/>
              <w:widowControl/>
              <w:rPr>
                <w:sz w:val="20"/>
                <w:szCs w:val="20"/>
              </w:rPr>
            </w:pPr>
            <w:r>
              <w:rPr>
                <w:sz w:val="20"/>
                <w:szCs w:val="20"/>
              </w:rPr>
              <w:t>Отклонение от среднего значения задержки передачи пакетов информации (мс)</w:t>
            </w:r>
          </w:p>
        </w:tc>
        <w:tc>
          <w:tcPr>
            <w:tcW w:w="884" w:type="pct"/>
          </w:tcPr>
          <w:p>
            <w:pPr>
              <w:pStyle w:val="S4"/>
              <w:widowControl/>
              <w:jc w:val="left"/>
              <w:rPr>
                <w:sz w:val="20"/>
                <w:szCs w:val="20"/>
              </w:rPr>
            </w:pPr>
            <w:r>
              <w:rPr>
                <w:sz w:val="20"/>
                <w:szCs w:val="20"/>
              </w:rPr>
              <w:t>не более</w:t>
            </w:r>
            <w:r>
              <w:rPr>
                <w:sz w:val="20"/>
                <w:szCs w:val="20"/>
              </w:rPr>
              <w:br/>
              <w:t>50</w:t>
            </w:r>
          </w:p>
        </w:tc>
        <w:tc>
          <w:tcPr>
            <w:tcW w:w="959" w:type="pct"/>
          </w:tcPr>
          <w:p>
            <w:pPr>
              <w:pStyle w:val="S4"/>
              <w:widowControl/>
              <w:jc w:val="left"/>
              <w:rPr>
                <w:sz w:val="20"/>
                <w:szCs w:val="20"/>
              </w:rPr>
            </w:pPr>
            <w:r>
              <w:rPr>
                <w:sz w:val="20"/>
                <w:szCs w:val="20"/>
              </w:rPr>
              <w:t>не более</w:t>
            </w:r>
            <w:r>
              <w:rPr>
                <w:sz w:val="20"/>
                <w:szCs w:val="20"/>
              </w:rPr>
              <w:br/>
              <w:t>50</w:t>
            </w:r>
          </w:p>
        </w:tc>
        <w:tc>
          <w:tcPr>
            <w:tcW w:w="661" w:type="pct"/>
          </w:tcPr>
          <w:p>
            <w:pPr>
              <w:pStyle w:val="S4"/>
              <w:widowControl/>
              <w:jc w:val="left"/>
              <w:rPr>
                <w:sz w:val="20"/>
                <w:szCs w:val="20"/>
              </w:rPr>
            </w:pPr>
            <w:r>
              <w:rPr>
                <w:sz w:val="20"/>
                <w:szCs w:val="20"/>
              </w:rPr>
              <w:t>-</w:t>
            </w:r>
          </w:p>
        </w:tc>
        <w:tc>
          <w:tcPr>
            <w:tcW w:w="662" w:type="pct"/>
          </w:tcPr>
          <w:p>
            <w:pPr>
              <w:pStyle w:val="S4"/>
              <w:widowControl/>
              <w:jc w:val="left"/>
              <w:rPr>
                <w:sz w:val="20"/>
                <w:szCs w:val="20"/>
              </w:rPr>
            </w:pPr>
            <w:r>
              <w:rPr>
                <w:sz w:val="20"/>
                <w:szCs w:val="20"/>
              </w:rPr>
              <w:t>не более</w:t>
            </w:r>
            <w:r>
              <w:rPr>
                <w:sz w:val="20"/>
                <w:szCs w:val="20"/>
              </w:rPr>
              <w:br/>
              <w:t>50</w:t>
            </w:r>
          </w:p>
        </w:tc>
        <w:tc>
          <w:tcPr>
            <w:tcW w:w="811" w:type="pct"/>
          </w:tcPr>
          <w:p>
            <w:pPr>
              <w:pStyle w:val="S4"/>
              <w:widowControl/>
              <w:jc w:val="left"/>
              <w:rPr>
                <w:sz w:val="20"/>
                <w:szCs w:val="20"/>
              </w:rPr>
            </w:pPr>
            <w:r>
              <w:rPr>
                <w:sz w:val="20"/>
                <w:szCs w:val="20"/>
              </w:rPr>
              <w:t>-</w:t>
            </w:r>
          </w:p>
        </w:tc>
      </w:tr>
      <w:tr>
        <w:tc>
          <w:tcPr>
            <w:tcW w:w="196" w:type="pct"/>
          </w:tcPr>
          <w:p>
            <w:pPr>
              <w:pStyle w:val="S4"/>
              <w:widowControl/>
              <w:jc w:val="left"/>
              <w:rPr>
                <w:sz w:val="20"/>
                <w:szCs w:val="20"/>
              </w:rPr>
            </w:pPr>
            <w:r>
              <w:rPr>
                <w:sz w:val="20"/>
                <w:szCs w:val="20"/>
              </w:rPr>
              <w:t>3</w:t>
            </w:r>
          </w:p>
        </w:tc>
        <w:tc>
          <w:tcPr>
            <w:tcW w:w="826" w:type="pct"/>
          </w:tcPr>
          <w:p>
            <w:pPr>
              <w:pStyle w:val="S4"/>
              <w:widowControl/>
              <w:rPr>
                <w:sz w:val="20"/>
                <w:szCs w:val="20"/>
              </w:rPr>
            </w:pPr>
            <w:r>
              <w:rPr>
                <w:sz w:val="20"/>
                <w:szCs w:val="20"/>
              </w:rPr>
              <w:t>Коэффициент потери пакетов информации</w:t>
            </w:r>
          </w:p>
        </w:tc>
        <w:tc>
          <w:tcPr>
            <w:tcW w:w="884" w:type="pct"/>
          </w:tcPr>
          <w:p>
            <w:pPr>
              <w:pStyle w:val="S4"/>
              <w:widowControl/>
              <w:jc w:val="left"/>
              <w:rPr>
                <w:sz w:val="20"/>
                <w:szCs w:val="20"/>
              </w:rPr>
            </w:pPr>
            <w:r>
              <w:rPr>
                <w:sz w:val="20"/>
                <w:szCs w:val="20"/>
              </w:rPr>
              <w:t>не более</w:t>
            </w:r>
            <w:r>
              <w:rPr>
                <w:sz w:val="20"/>
                <w:szCs w:val="20"/>
              </w:rPr>
              <w:br/>
              <w:t>10(-3)</w:t>
            </w:r>
          </w:p>
        </w:tc>
        <w:tc>
          <w:tcPr>
            <w:tcW w:w="959" w:type="pct"/>
          </w:tcPr>
          <w:p>
            <w:pPr>
              <w:pStyle w:val="S4"/>
              <w:widowControl/>
              <w:jc w:val="left"/>
              <w:rPr>
                <w:sz w:val="20"/>
                <w:szCs w:val="20"/>
              </w:rPr>
            </w:pPr>
            <w:r>
              <w:rPr>
                <w:sz w:val="20"/>
                <w:szCs w:val="20"/>
              </w:rPr>
              <w:t>не более</w:t>
            </w:r>
            <w:r>
              <w:rPr>
                <w:sz w:val="20"/>
                <w:szCs w:val="20"/>
              </w:rPr>
              <w:br/>
              <w:t>10(-3)</w:t>
            </w:r>
          </w:p>
        </w:tc>
        <w:tc>
          <w:tcPr>
            <w:tcW w:w="661" w:type="pct"/>
          </w:tcPr>
          <w:p>
            <w:pPr>
              <w:pStyle w:val="S4"/>
              <w:widowControl/>
              <w:jc w:val="left"/>
              <w:rPr>
                <w:sz w:val="20"/>
                <w:szCs w:val="20"/>
              </w:rPr>
            </w:pPr>
            <w:r>
              <w:rPr>
                <w:sz w:val="20"/>
                <w:szCs w:val="20"/>
              </w:rPr>
              <w:t>не более</w:t>
            </w:r>
            <w:r>
              <w:rPr>
                <w:sz w:val="20"/>
                <w:szCs w:val="20"/>
              </w:rPr>
              <w:br/>
              <w:t>10(-3)</w:t>
            </w:r>
          </w:p>
        </w:tc>
        <w:tc>
          <w:tcPr>
            <w:tcW w:w="662" w:type="pct"/>
          </w:tcPr>
          <w:p>
            <w:pPr>
              <w:pStyle w:val="S4"/>
              <w:widowControl/>
              <w:jc w:val="left"/>
              <w:rPr>
                <w:sz w:val="20"/>
                <w:szCs w:val="20"/>
              </w:rPr>
            </w:pPr>
            <w:r>
              <w:rPr>
                <w:sz w:val="20"/>
                <w:szCs w:val="20"/>
              </w:rPr>
              <w:t>не более</w:t>
            </w:r>
            <w:r>
              <w:rPr>
                <w:sz w:val="20"/>
                <w:szCs w:val="20"/>
              </w:rPr>
              <w:br/>
              <w:t>10(-3)</w:t>
            </w:r>
          </w:p>
        </w:tc>
        <w:tc>
          <w:tcPr>
            <w:tcW w:w="811" w:type="pct"/>
          </w:tcPr>
          <w:p>
            <w:pPr>
              <w:pStyle w:val="S4"/>
              <w:widowControl/>
              <w:jc w:val="left"/>
              <w:rPr>
                <w:sz w:val="20"/>
                <w:szCs w:val="20"/>
              </w:rPr>
            </w:pPr>
            <w:r>
              <w:rPr>
                <w:sz w:val="20"/>
                <w:szCs w:val="20"/>
              </w:rPr>
              <w:t>не более</w:t>
            </w:r>
            <w:r>
              <w:rPr>
                <w:sz w:val="20"/>
                <w:szCs w:val="20"/>
              </w:rPr>
              <w:br/>
              <w:t>10(-3)</w:t>
            </w:r>
          </w:p>
        </w:tc>
      </w:tr>
      <w:tr>
        <w:tc>
          <w:tcPr>
            <w:tcW w:w="196" w:type="pct"/>
          </w:tcPr>
          <w:p>
            <w:pPr>
              <w:pStyle w:val="S4"/>
              <w:widowControl/>
              <w:jc w:val="left"/>
              <w:rPr>
                <w:sz w:val="20"/>
                <w:szCs w:val="20"/>
              </w:rPr>
            </w:pPr>
            <w:r>
              <w:rPr>
                <w:sz w:val="20"/>
                <w:szCs w:val="20"/>
              </w:rPr>
              <w:t>4</w:t>
            </w:r>
          </w:p>
        </w:tc>
        <w:tc>
          <w:tcPr>
            <w:tcW w:w="826" w:type="pct"/>
          </w:tcPr>
          <w:p>
            <w:pPr>
              <w:pStyle w:val="S4"/>
              <w:widowControl/>
              <w:rPr>
                <w:sz w:val="20"/>
                <w:szCs w:val="20"/>
              </w:rPr>
            </w:pPr>
            <w:r>
              <w:rPr>
                <w:sz w:val="20"/>
                <w:szCs w:val="20"/>
              </w:rPr>
              <w:t>Коэффициент ошибок в пакетах информации</w:t>
            </w:r>
          </w:p>
        </w:tc>
        <w:tc>
          <w:tcPr>
            <w:tcW w:w="884" w:type="pct"/>
          </w:tcPr>
          <w:p>
            <w:pPr>
              <w:pStyle w:val="S4"/>
              <w:widowControl/>
              <w:jc w:val="left"/>
              <w:rPr>
                <w:sz w:val="20"/>
                <w:szCs w:val="20"/>
              </w:rPr>
            </w:pPr>
            <w:r>
              <w:rPr>
                <w:sz w:val="20"/>
                <w:szCs w:val="20"/>
              </w:rPr>
              <w:t>не более</w:t>
            </w:r>
            <w:r>
              <w:rPr>
                <w:sz w:val="20"/>
                <w:szCs w:val="20"/>
              </w:rPr>
              <w:br/>
              <w:t>10(-4)</w:t>
            </w:r>
          </w:p>
        </w:tc>
        <w:tc>
          <w:tcPr>
            <w:tcW w:w="959" w:type="pct"/>
          </w:tcPr>
          <w:p>
            <w:pPr>
              <w:pStyle w:val="S4"/>
              <w:widowControl/>
              <w:jc w:val="left"/>
              <w:rPr>
                <w:sz w:val="20"/>
                <w:szCs w:val="20"/>
              </w:rPr>
            </w:pPr>
            <w:r>
              <w:rPr>
                <w:sz w:val="20"/>
                <w:szCs w:val="20"/>
              </w:rPr>
              <w:t>не более</w:t>
            </w:r>
            <w:r>
              <w:rPr>
                <w:sz w:val="20"/>
                <w:szCs w:val="20"/>
              </w:rPr>
              <w:br/>
              <w:t>10(-4)</w:t>
            </w:r>
          </w:p>
        </w:tc>
        <w:tc>
          <w:tcPr>
            <w:tcW w:w="661" w:type="pct"/>
          </w:tcPr>
          <w:p>
            <w:pPr>
              <w:pStyle w:val="S4"/>
              <w:widowControl/>
              <w:jc w:val="left"/>
              <w:rPr>
                <w:sz w:val="20"/>
                <w:szCs w:val="20"/>
              </w:rPr>
            </w:pPr>
            <w:r>
              <w:rPr>
                <w:sz w:val="20"/>
                <w:szCs w:val="20"/>
              </w:rPr>
              <w:t>не более</w:t>
            </w:r>
            <w:r>
              <w:rPr>
                <w:sz w:val="20"/>
                <w:szCs w:val="20"/>
              </w:rPr>
              <w:br/>
              <w:t>10(-4)</w:t>
            </w:r>
          </w:p>
        </w:tc>
        <w:tc>
          <w:tcPr>
            <w:tcW w:w="662" w:type="pct"/>
          </w:tcPr>
          <w:p>
            <w:pPr>
              <w:pStyle w:val="S4"/>
              <w:widowControl/>
              <w:jc w:val="left"/>
              <w:rPr>
                <w:sz w:val="20"/>
                <w:szCs w:val="20"/>
              </w:rPr>
            </w:pPr>
            <w:r>
              <w:rPr>
                <w:sz w:val="20"/>
                <w:szCs w:val="20"/>
              </w:rPr>
              <w:t>не более</w:t>
            </w:r>
            <w:r>
              <w:rPr>
                <w:sz w:val="20"/>
                <w:szCs w:val="20"/>
              </w:rPr>
              <w:br/>
              <w:t>10(-4)</w:t>
            </w:r>
          </w:p>
        </w:tc>
        <w:tc>
          <w:tcPr>
            <w:tcW w:w="811" w:type="pct"/>
          </w:tcPr>
          <w:p>
            <w:pPr>
              <w:pStyle w:val="S4"/>
              <w:widowControl/>
              <w:jc w:val="left"/>
              <w:rPr>
                <w:sz w:val="20"/>
                <w:szCs w:val="20"/>
              </w:rPr>
            </w:pPr>
            <w:r>
              <w:rPr>
                <w:sz w:val="20"/>
                <w:szCs w:val="20"/>
              </w:rPr>
              <w:t>не более</w:t>
            </w:r>
            <w:r>
              <w:rPr>
                <w:sz w:val="20"/>
                <w:szCs w:val="20"/>
              </w:rPr>
              <w:br/>
              <w:t>10(-4)</w:t>
            </w:r>
          </w:p>
        </w:tc>
      </w:tr>
    </w:tbl>
    <w:p>
      <w:pPr>
        <w:pStyle w:val="S4"/>
        <w:widowControl/>
        <w:ind w:left="567"/>
        <w:rPr>
          <w:i/>
        </w:rPr>
      </w:pPr>
    </w:p>
    <w:p>
      <w:pPr>
        <w:pStyle w:val="S4"/>
        <w:widowControl/>
        <w:ind w:left="567"/>
        <w:rPr>
          <w:i/>
        </w:rPr>
      </w:pPr>
      <w:r>
        <w:rPr>
          <w:i/>
          <w:u w:val="single"/>
        </w:rPr>
        <w:t>Примечание:</w:t>
      </w:r>
      <w:r>
        <w:rPr>
          <w:i/>
        </w:rPr>
        <w:t xml:space="preserve"> интерактивный трафик – тип трафика, для которого характерно непосредственное взаимодействие (диалог) пользователей услугой связи или пользовательского (оконечного) оборудования. Потоковый трафик - тип трафика, для которого характерен просмотр и (или) прослушивание информации по мере ее поступления в пользовательское (оконечное) оборудование.</w:t>
      </w:r>
    </w:p>
    <w:p>
      <w:pPr>
        <w:pStyle w:val="S4"/>
        <w:widowControl/>
      </w:pPr>
    </w:p>
    <w:p>
      <w:pPr>
        <w:jc w:val="both"/>
        <w:rPr>
          <w:szCs w:val="24"/>
        </w:rPr>
      </w:pPr>
      <w:r>
        <w:rPr>
          <w:szCs w:val="24"/>
        </w:rPr>
        <w:t>8.11. Взаимодействие сетей телефонной связи Компании с сетями телефонной связи общего пользования должно осуществляться по протоколу системы сигнализации № 7 (ОКС 7).</w:t>
      </w:r>
    </w:p>
    <w:p>
      <w:pPr>
        <w:jc w:val="both"/>
        <w:rPr>
          <w:szCs w:val="24"/>
        </w:rPr>
      </w:pPr>
    </w:p>
    <w:p>
      <w:pPr>
        <w:pStyle w:val="S4"/>
        <w:widowControl/>
      </w:pPr>
      <w:r>
        <w:t>8.12. Единство измерений обеспечивается выполнением требований к точности измерений параметров функционирования средств связи, устанавливаемых в правилах применения средств связи и эксплуатационной документации производителей средств связи, а также применением поверенных (калиброванных) средств измерений, обеспечивающих измерение параметров с требуемой точностью.</w:t>
      </w:r>
    </w:p>
    <w:p>
      <w:pPr>
        <w:pStyle w:val="S4"/>
        <w:widowControl/>
      </w:pPr>
    </w:p>
    <w:bookmarkEnd w:id="135"/>
    <w:p>
      <w:pPr>
        <w:autoSpaceDE w:val="0"/>
        <w:autoSpaceDN w:val="0"/>
        <w:adjustRightInd w:val="0"/>
        <w:jc w:val="both"/>
        <w:rPr>
          <w:szCs w:val="24"/>
        </w:rPr>
      </w:pPr>
      <w:r>
        <w:rPr>
          <w:szCs w:val="24"/>
        </w:rPr>
        <w:t>8.13. Устойчивость сети электросвязи по состоянию ее сетевого построения должна оцениваться возможностью сети адаптироваться к изменению условий функционирования, в результате воздействия внешних дестабилизирующих факторов.</w:t>
      </w:r>
    </w:p>
    <w:p>
      <w:pPr>
        <w:autoSpaceDE w:val="0"/>
        <w:autoSpaceDN w:val="0"/>
        <w:adjustRightInd w:val="0"/>
        <w:jc w:val="both"/>
        <w:rPr>
          <w:szCs w:val="24"/>
        </w:rPr>
      </w:pPr>
    </w:p>
    <w:p>
      <w:pPr>
        <w:autoSpaceDE w:val="0"/>
        <w:autoSpaceDN w:val="0"/>
        <w:adjustRightInd w:val="0"/>
        <w:jc w:val="both"/>
        <w:rPr>
          <w:szCs w:val="24"/>
        </w:rPr>
      </w:pPr>
      <w:r>
        <w:rPr>
          <w:szCs w:val="24"/>
        </w:rPr>
        <w:t>При сетевом построении необходимо выполнять:</w:t>
      </w:r>
    </w:p>
    <w:p>
      <w:pPr>
        <w:pStyle w:val="aff5"/>
        <w:numPr>
          <w:ilvl w:val="0"/>
          <w:numId w:val="5"/>
        </w:numPr>
        <w:tabs>
          <w:tab w:val="left" w:pos="539"/>
        </w:tabs>
        <w:spacing w:before="120"/>
        <w:ind w:left="538" w:hanging="357"/>
        <w:contextualSpacing w:val="0"/>
        <w:jc w:val="both"/>
      </w:pPr>
      <w:r>
        <w:t>резервирование линий (каналов) электросвязи;</w:t>
      </w:r>
    </w:p>
    <w:p>
      <w:pPr>
        <w:pStyle w:val="aff5"/>
        <w:numPr>
          <w:ilvl w:val="0"/>
          <w:numId w:val="5"/>
        </w:numPr>
        <w:tabs>
          <w:tab w:val="left" w:pos="539"/>
        </w:tabs>
        <w:spacing w:before="120"/>
        <w:ind w:left="538" w:hanging="357"/>
        <w:contextualSpacing w:val="0"/>
        <w:jc w:val="both"/>
      </w:pPr>
      <w:r>
        <w:t>выбор различных сред распространения сигналов;</w:t>
      </w:r>
    </w:p>
    <w:p>
      <w:pPr>
        <w:pStyle w:val="aff5"/>
        <w:numPr>
          <w:ilvl w:val="0"/>
          <w:numId w:val="5"/>
        </w:numPr>
        <w:tabs>
          <w:tab w:val="left" w:pos="539"/>
        </w:tabs>
        <w:spacing w:before="120"/>
        <w:ind w:left="538" w:hanging="357"/>
        <w:contextualSpacing w:val="0"/>
        <w:jc w:val="both"/>
      </w:pPr>
      <w:r>
        <w:t>создание разветвленной топологии сети электросвязи;</w:t>
      </w:r>
    </w:p>
    <w:p>
      <w:pPr>
        <w:pStyle w:val="aff5"/>
        <w:numPr>
          <w:ilvl w:val="0"/>
          <w:numId w:val="5"/>
        </w:numPr>
        <w:tabs>
          <w:tab w:val="left" w:pos="539"/>
        </w:tabs>
        <w:spacing w:before="120"/>
        <w:ind w:left="538" w:hanging="357"/>
        <w:contextualSpacing w:val="0"/>
        <w:jc w:val="both"/>
      </w:pPr>
      <w:r>
        <w:lastRenderedPageBreak/>
        <w:t>обеспечение взаимодействия с сетями нескольких операторов связи.</w:t>
      </w:r>
    </w:p>
    <w:p>
      <w:pPr>
        <w:pStyle w:val="S4"/>
        <w:widowControl/>
      </w:pPr>
    </w:p>
    <w:p>
      <w:pPr>
        <w:autoSpaceDE w:val="0"/>
        <w:autoSpaceDN w:val="0"/>
        <w:adjustRightInd w:val="0"/>
        <w:jc w:val="both"/>
        <w:rPr>
          <w:szCs w:val="24"/>
        </w:rPr>
      </w:pPr>
      <w:r>
        <w:rPr>
          <w:szCs w:val="24"/>
        </w:rPr>
        <w:t>Перечисленные методы сетевого построения должны использоваться в качестве сетевых методов обеспечения устойчивости (надежности и живучести) сетей электросвязи Компании.</w:t>
      </w:r>
    </w:p>
    <w:p>
      <w:pPr>
        <w:autoSpaceDE w:val="0"/>
        <w:autoSpaceDN w:val="0"/>
        <w:adjustRightInd w:val="0"/>
        <w:jc w:val="both"/>
        <w:rPr>
          <w:szCs w:val="24"/>
        </w:rPr>
      </w:pPr>
    </w:p>
    <w:p>
      <w:pPr>
        <w:autoSpaceDE w:val="0"/>
        <w:autoSpaceDN w:val="0"/>
        <w:adjustRightInd w:val="0"/>
        <w:jc w:val="both"/>
        <w:rPr>
          <w:szCs w:val="24"/>
        </w:rPr>
      </w:pPr>
      <w:r>
        <w:rPr>
          <w:szCs w:val="24"/>
        </w:rPr>
        <w:t>Живучесть сети связи обеспечивается выполнением:</w:t>
      </w:r>
    </w:p>
    <w:p>
      <w:pPr>
        <w:numPr>
          <w:ilvl w:val="0"/>
          <w:numId w:val="2"/>
        </w:numPr>
        <w:tabs>
          <w:tab w:val="num" w:pos="540"/>
        </w:tabs>
        <w:spacing w:before="120"/>
        <w:ind w:left="538" w:hanging="357"/>
        <w:jc w:val="both"/>
        <w:rPr>
          <w:iCs/>
          <w:szCs w:val="24"/>
          <w:lang w:eastAsia="ru-RU"/>
        </w:rPr>
      </w:pPr>
      <w:bookmarkStart w:id="141" w:name="sub_1081"/>
      <w:r>
        <w:rPr>
          <w:iCs/>
          <w:szCs w:val="24"/>
          <w:lang w:eastAsia="ru-RU"/>
        </w:rPr>
        <w:t>требований к построению сетей связи при их проектировании;</w:t>
      </w:r>
    </w:p>
    <w:p>
      <w:pPr>
        <w:numPr>
          <w:ilvl w:val="0"/>
          <w:numId w:val="2"/>
        </w:numPr>
        <w:tabs>
          <w:tab w:val="num" w:pos="540"/>
        </w:tabs>
        <w:spacing w:before="120"/>
        <w:ind w:left="538" w:hanging="357"/>
        <w:jc w:val="both"/>
        <w:rPr>
          <w:iCs/>
          <w:szCs w:val="24"/>
          <w:lang w:eastAsia="ru-RU"/>
        </w:rPr>
      </w:pPr>
      <w:bookmarkStart w:id="142" w:name="sub_1082"/>
      <w:bookmarkEnd w:id="141"/>
      <w:r>
        <w:rPr>
          <w:iCs/>
          <w:szCs w:val="24"/>
          <w:lang w:eastAsia="ru-RU"/>
        </w:rPr>
        <w:t>мероприятий гражданской обороны, устанавливаемых законодательством Российской Федерации в области гражданской обороны.</w:t>
      </w:r>
    </w:p>
    <w:p>
      <w:pPr>
        <w:pStyle w:val="S4"/>
        <w:widowControl/>
      </w:pPr>
    </w:p>
    <w:bookmarkEnd w:id="142"/>
    <w:p>
      <w:pPr>
        <w:autoSpaceDE w:val="0"/>
        <w:autoSpaceDN w:val="0"/>
        <w:adjustRightInd w:val="0"/>
        <w:jc w:val="both"/>
        <w:rPr>
          <w:szCs w:val="24"/>
        </w:rPr>
      </w:pPr>
      <w:r>
        <w:rPr>
          <w:szCs w:val="24"/>
        </w:rPr>
        <w:t>Надежность сети связи обеспечивается:</w:t>
      </w:r>
    </w:p>
    <w:p>
      <w:pPr>
        <w:numPr>
          <w:ilvl w:val="0"/>
          <w:numId w:val="2"/>
        </w:numPr>
        <w:tabs>
          <w:tab w:val="num" w:pos="540"/>
        </w:tabs>
        <w:spacing w:before="120"/>
        <w:ind w:left="538" w:hanging="357"/>
        <w:jc w:val="both"/>
        <w:rPr>
          <w:iCs/>
          <w:szCs w:val="24"/>
          <w:lang w:eastAsia="ru-RU"/>
        </w:rPr>
      </w:pPr>
      <w:bookmarkStart w:id="143" w:name="sub_1091"/>
      <w:r>
        <w:rPr>
          <w:iCs/>
          <w:szCs w:val="24"/>
          <w:lang w:eastAsia="ru-RU"/>
        </w:rPr>
        <w:t>разработкой мер при проектировании сети связи, направленных на выполнение требований к показателям надежности этой сети связи;</w:t>
      </w:r>
    </w:p>
    <w:p>
      <w:pPr>
        <w:numPr>
          <w:ilvl w:val="0"/>
          <w:numId w:val="2"/>
        </w:numPr>
        <w:tabs>
          <w:tab w:val="num" w:pos="540"/>
        </w:tabs>
        <w:spacing w:before="120"/>
        <w:ind w:left="538" w:hanging="357"/>
        <w:jc w:val="both"/>
        <w:rPr>
          <w:iCs/>
          <w:szCs w:val="24"/>
          <w:lang w:eastAsia="ru-RU"/>
        </w:rPr>
      </w:pPr>
      <w:bookmarkStart w:id="144" w:name="sub_1092"/>
      <w:bookmarkEnd w:id="143"/>
      <w:r>
        <w:rPr>
          <w:iCs/>
          <w:szCs w:val="24"/>
          <w:lang w:eastAsia="ru-RU"/>
        </w:rPr>
        <w:t>соблюдением условий эксплуатации, установленных в документации производителя;</w:t>
      </w:r>
    </w:p>
    <w:p>
      <w:pPr>
        <w:numPr>
          <w:ilvl w:val="0"/>
          <w:numId w:val="2"/>
        </w:numPr>
        <w:tabs>
          <w:tab w:val="num" w:pos="540"/>
        </w:tabs>
        <w:spacing w:before="120"/>
        <w:ind w:left="538" w:hanging="357"/>
        <w:jc w:val="both"/>
        <w:rPr>
          <w:iCs/>
          <w:szCs w:val="24"/>
          <w:lang w:eastAsia="ru-RU"/>
        </w:rPr>
      </w:pPr>
      <w:bookmarkStart w:id="145" w:name="sub_1093"/>
      <w:bookmarkEnd w:id="144"/>
      <w:r>
        <w:rPr>
          <w:iCs/>
          <w:szCs w:val="24"/>
          <w:lang w:eastAsia="ru-RU"/>
        </w:rPr>
        <w:t>контролем за показателями нагрузки и анализом технических неисправностей в сети связи и эксплуатационными значениями показателей надежности сети связи.</w:t>
      </w:r>
    </w:p>
    <w:p>
      <w:pPr>
        <w:pStyle w:val="S4"/>
        <w:widowControl/>
      </w:pPr>
    </w:p>
    <w:bookmarkEnd w:id="145"/>
    <w:p>
      <w:pPr>
        <w:autoSpaceDE w:val="0"/>
        <w:autoSpaceDN w:val="0"/>
        <w:adjustRightInd w:val="0"/>
        <w:jc w:val="both"/>
        <w:rPr>
          <w:szCs w:val="24"/>
        </w:rPr>
      </w:pPr>
      <w:r>
        <w:rPr>
          <w:szCs w:val="24"/>
        </w:rPr>
        <w:t>8.14. Значения показателей надежности сети связи, определяемые при проектировании сети связи и эксплуатационные значения показателей надежности сети связи должны соответствовать техническим нормам на показатели надежности сетей связи, приведенным в Таблице 3.</w:t>
      </w:r>
    </w:p>
    <w:p>
      <w:pPr>
        <w:pStyle w:val="S4"/>
        <w:widowControl/>
      </w:pPr>
    </w:p>
    <w:p>
      <w:pPr>
        <w:pStyle w:val="a9"/>
        <w:spacing w:before="0" w:beforeAutospacing="0" w:after="0" w:afterAutospacing="0"/>
        <w:jc w:val="right"/>
        <w:rPr>
          <w:rFonts w:ascii="Arial" w:hAnsi="Arial" w:cs="Arial"/>
          <w:b/>
          <w:sz w:val="20"/>
          <w:szCs w:val="20"/>
        </w:rPr>
      </w:pPr>
      <w:r>
        <w:rPr>
          <w:rFonts w:ascii="Arial" w:hAnsi="Arial" w:cs="Arial"/>
          <w:b/>
          <w:sz w:val="20"/>
        </w:rPr>
        <w:t xml:space="preserve">Таблица </w:t>
      </w:r>
      <w:r>
        <w:rPr>
          <w:rFonts w:ascii="Arial" w:hAnsi="Arial" w:cs="Arial"/>
          <w:b/>
          <w:sz w:val="20"/>
        </w:rPr>
        <w:fldChar w:fldCharType="begin"/>
      </w:r>
      <w:r>
        <w:rPr>
          <w:rFonts w:ascii="Arial" w:hAnsi="Arial" w:cs="Arial"/>
          <w:b/>
          <w:sz w:val="20"/>
        </w:rPr>
        <w:instrText xml:space="preserve"> SEQ Таблица \* ARABIC </w:instrText>
      </w:r>
      <w:r>
        <w:rPr>
          <w:rFonts w:ascii="Arial" w:hAnsi="Arial" w:cs="Arial"/>
          <w:b/>
          <w:sz w:val="20"/>
        </w:rPr>
        <w:fldChar w:fldCharType="separate"/>
      </w:r>
      <w:r>
        <w:rPr>
          <w:rFonts w:ascii="Arial" w:hAnsi="Arial" w:cs="Arial"/>
          <w:b/>
          <w:noProof/>
          <w:sz w:val="20"/>
        </w:rPr>
        <w:t>3</w:t>
      </w:r>
      <w:r>
        <w:rPr>
          <w:rFonts w:ascii="Arial" w:hAnsi="Arial" w:cs="Arial"/>
          <w:b/>
          <w:sz w:val="20"/>
        </w:rPr>
        <w:fldChar w:fldCharType="end"/>
      </w:r>
    </w:p>
    <w:p>
      <w:pPr>
        <w:pStyle w:val="S8"/>
        <w:widowControl/>
        <w:spacing w:after="60"/>
        <w:rPr>
          <w:bCs/>
          <w:color w:val="26282F"/>
        </w:rPr>
      </w:pPr>
      <w:r>
        <w:rPr>
          <w:rFonts w:cs="Arial"/>
          <w:bCs/>
          <w:szCs w:val="20"/>
          <w:lang w:eastAsia="ar-SA"/>
        </w:rPr>
        <w:t>Технические нормы на показатели надежности сетей связи</w:t>
      </w:r>
    </w:p>
    <w:tbl>
      <w:tblPr>
        <w:tblW w:w="4945"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18"/>
        <w:gridCol w:w="3635"/>
        <w:gridCol w:w="2887"/>
        <w:gridCol w:w="2606"/>
      </w:tblGrid>
      <w:tr>
        <w:tc>
          <w:tcPr>
            <w:tcW w:w="317" w:type="pct"/>
            <w:tcBorders>
              <w:bottom w:val="single" w:sz="12" w:space="0" w:color="auto"/>
            </w:tcBorders>
            <w:shd w:val="clear" w:color="auto" w:fill="FFD200"/>
            <w:vAlign w:val="center"/>
          </w:tcPr>
          <w:p>
            <w:pPr>
              <w:autoSpaceDE w:val="0"/>
              <w:autoSpaceDN w:val="0"/>
              <w:adjustRightInd w:val="0"/>
              <w:spacing w:before="20" w:after="20"/>
              <w:jc w:val="center"/>
              <w:rPr>
                <w:szCs w:val="24"/>
              </w:rPr>
            </w:pPr>
            <w:r>
              <w:rPr>
                <w:rFonts w:ascii="Arial" w:hAnsi="Arial" w:cs="Arial"/>
                <w:b/>
                <w:bCs/>
                <w:caps/>
                <w:sz w:val="16"/>
                <w:szCs w:val="16"/>
              </w:rPr>
              <w:t>N</w:t>
            </w:r>
            <w:r>
              <w:rPr>
                <w:rFonts w:ascii="Arial" w:hAnsi="Arial" w:cs="Arial"/>
                <w:b/>
                <w:bCs/>
                <w:caps/>
                <w:sz w:val="16"/>
                <w:szCs w:val="16"/>
              </w:rPr>
              <w:br/>
            </w:r>
            <w:r>
              <w:rPr>
                <w:rFonts w:ascii="Arial" w:hAnsi="Arial" w:cs="Arial"/>
                <w:b/>
                <w:bCs/>
                <w:sz w:val="16"/>
                <w:szCs w:val="16"/>
              </w:rPr>
              <w:t>п/п</w:t>
            </w:r>
          </w:p>
        </w:tc>
        <w:tc>
          <w:tcPr>
            <w:tcW w:w="1865" w:type="pct"/>
            <w:tcBorders>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Тип сети электросвязи</w:t>
            </w:r>
          </w:p>
        </w:tc>
        <w:tc>
          <w:tcPr>
            <w:tcW w:w="1481" w:type="pct"/>
            <w:tcBorders>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Наименование показателя</w:t>
            </w:r>
          </w:p>
        </w:tc>
        <w:tc>
          <w:tcPr>
            <w:tcW w:w="1337" w:type="pct"/>
            <w:tcBorders>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Норма</w:t>
            </w:r>
          </w:p>
        </w:tc>
      </w:tr>
      <w:tr>
        <w:tc>
          <w:tcPr>
            <w:tcW w:w="317" w:type="pct"/>
            <w:tcBorders>
              <w:top w:val="single" w:sz="12" w:space="0" w:color="auto"/>
              <w:bottom w:val="single" w:sz="12" w:space="0" w:color="auto"/>
            </w:tcBorders>
            <w:shd w:val="clear" w:color="auto" w:fill="FFD200"/>
            <w:vAlign w:val="center"/>
          </w:tcPr>
          <w:p>
            <w:pPr>
              <w:autoSpaceDE w:val="0"/>
              <w:autoSpaceDN w:val="0"/>
              <w:adjustRightInd w:val="0"/>
              <w:spacing w:before="20" w:after="20"/>
              <w:jc w:val="center"/>
              <w:rPr>
                <w:rFonts w:ascii="Arial" w:hAnsi="Arial" w:cs="Arial"/>
                <w:b/>
                <w:bCs/>
                <w:caps/>
                <w:sz w:val="16"/>
                <w:szCs w:val="16"/>
              </w:rPr>
            </w:pPr>
            <w:r>
              <w:rPr>
                <w:rFonts w:ascii="Arial" w:hAnsi="Arial" w:cs="Arial"/>
                <w:b/>
                <w:bCs/>
                <w:caps/>
                <w:sz w:val="16"/>
                <w:szCs w:val="16"/>
              </w:rPr>
              <w:t>1</w:t>
            </w:r>
          </w:p>
        </w:tc>
        <w:tc>
          <w:tcPr>
            <w:tcW w:w="1865"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2</w:t>
            </w:r>
          </w:p>
        </w:tc>
        <w:tc>
          <w:tcPr>
            <w:tcW w:w="1481"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3</w:t>
            </w:r>
          </w:p>
        </w:tc>
        <w:tc>
          <w:tcPr>
            <w:tcW w:w="1337"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caps/>
                <w:sz w:val="16"/>
                <w:szCs w:val="16"/>
              </w:rPr>
            </w:pPr>
            <w:r>
              <w:rPr>
                <w:rFonts w:ascii="Arial" w:hAnsi="Arial" w:cs="Arial"/>
                <w:b/>
                <w:bCs/>
                <w:caps/>
                <w:sz w:val="16"/>
                <w:szCs w:val="16"/>
              </w:rPr>
              <w:t>4</w:t>
            </w:r>
          </w:p>
        </w:tc>
      </w:tr>
      <w:tr>
        <w:trPr>
          <w:trHeight w:val="284"/>
        </w:trPr>
        <w:tc>
          <w:tcPr>
            <w:tcW w:w="317" w:type="pct"/>
            <w:tcBorders>
              <w:top w:val="single" w:sz="12" w:space="0" w:color="auto"/>
            </w:tcBorders>
            <w:shd w:val="clear" w:color="auto" w:fill="auto"/>
          </w:tcPr>
          <w:p>
            <w:pPr>
              <w:pStyle w:val="S4"/>
              <w:widowControl/>
              <w:jc w:val="left"/>
            </w:pPr>
            <w:r>
              <w:t>1</w:t>
            </w:r>
          </w:p>
        </w:tc>
        <w:tc>
          <w:tcPr>
            <w:tcW w:w="1865" w:type="pct"/>
            <w:tcBorders>
              <w:top w:val="single" w:sz="12" w:space="0" w:color="auto"/>
            </w:tcBorders>
            <w:shd w:val="clear" w:color="auto" w:fill="auto"/>
          </w:tcPr>
          <w:p>
            <w:pPr>
              <w:pStyle w:val="S4"/>
              <w:widowControl/>
              <w:jc w:val="left"/>
            </w:pPr>
            <w:r>
              <w:t>Сеть местной телефонной связи</w:t>
            </w:r>
          </w:p>
        </w:tc>
        <w:tc>
          <w:tcPr>
            <w:tcW w:w="1481" w:type="pct"/>
            <w:vMerge w:val="restart"/>
            <w:tcBorders>
              <w:top w:val="single" w:sz="12" w:space="0" w:color="auto"/>
            </w:tcBorders>
            <w:shd w:val="clear" w:color="auto" w:fill="auto"/>
          </w:tcPr>
          <w:p>
            <w:pPr>
              <w:pStyle w:val="S4"/>
              <w:widowControl/>
              <w:jc w:val="center"/>
            </w:pPr>
            <w:r>
              <w:t>Коэффициент готовности</w:t>
            </w:r>
          </w:p>
        </w:tc>
        <w:tc>
          <w:tcPr>
            <w:tcW w:w="1337" w:type="pct"/>
            <w:tcBorders>
              <w:top w:val="single" w:sz="12" w:space="0" w:color="auto"/>
            </w:tcBorders>
            <w:shd w:val="clear" w:color="auto" w:fill="auto"/>
          </w:tcPr>
          <w:p>
            <w:pPr>
              <w:pStyle w:val="S4"/>
              <w:widowControl/>
              <w:jc w:val="left"/>
            </w:pPr>
            <w:r>
              <w:t>не менее 0,9999</w:t>
            </w:r>
          </w:p>
        </w:tc>
      </w:tr>
      <w:tr>
        <w:trPr>
          <w:trHeight w:val="284"/>
        </w:trPr>
        <w:tc>
          <w:tcPr>
            <w:tcW w:w="317" w:type="pct"/>
            <w:shd w:val="clear" w:color="auto" w:fill="auto"/>
          </w:tcPr>
          <w:p>
            <w:pPr>
              <w:pStyle w:val="S4"/>
              <w:widowControl/>
              <w:jc w:val="left"/>
            </w:pPr>
            <w:r>
              <w:t>2</w:t>
            </w:r>
          </w:p>
        </w:tc>
        <w:tc>
          <w:tcPr>
            <w:tcW w:w="1865" w:type="pct"/>
            <w:shd w:val="clear" w:color="auto" w:fill="auto"/>
          </w:tcPr>
          <w:p>
            <w:pPr>
              <w:pStyle w:val="S4"/>
              <w:widowControl/>
              <w:jc w:val="left"/>
            </w:pPr>
            <w:r>
              <w:t>Сеть передачи данных</w:t>
            </w:r>
          </w:p>
        </w:tc>
        <w:tc>
          <w:tcPr>
            <w:tcW w:w="1481" w:type="pct"/>
            <w:vMerge/>
            <w:shd w:val="clear" w:color="auto" w:fill="auto"/>
          </w:tcPr>
          <w:p>
            <w:pPr>
              <w:pStyle w:val="S4"/>
              <w:widowControl/>
              <w:jc w:val="left"/>
            </w:pPr>
          </w:p>
        </w:tc>
        <w:tc>
          <w:tcPr>
            <w:tcW w:w="1337" w:type="pct"/>
            <w:shd w:val="clear" w:color="auto" w:fill="auto"/>
          </w:tcPr>
          <w:p>
            <w:pPr>
              <w:pStyle w:val="S4"/>
              <w:widowControl/>
              <w:jc w:val="left"/>
            </w:pPr>
            <w:r>
              <w:t>не менее 0,99</w:t>
            </w:r>
          </w:p>
        </w:tc>
      </w:tr>
    </w:tbl>
    <w:p>
      <w:pPr>
        <w:pStyle w:val="S4"/>
        <w:widowControl/>
      </w:pPr>
    </w:p>
    <w:p>
      <w:pPr>
        <w:pStyle w:val="S4"/>
        <w:widowControl/>
      </w:pPr>
      <w:r>
        <w:t xml:space="preserve">8.15. Выявленный НСД к сетям связи и, передаваемой посредством их информации, должен регистрироваться. В целях предотвращения возникновения НСД к сетям связи, к передаваемой по ним информации и событий </w:t>
      </w:r>
      <w:r>
        <w:rPr>
          <w:bCs/>
        </w:rPr>
        <w:t>телекоммуникационной безопасности</w:t>
      </w:r>
      <w:r>
        <w:t xml:space="preserve"> в процессе эксплуатации сети связи проводится анализ причин и условий их возникновения. По результатам такого анализа должны определяться работы, направленные на предотвращение возникновения их в дальнейшем.</w:t>
      </w:r>
    </w:p>
    <w:p>
      <w:pPr>
        <w:pStyle w:val="S4"/>
        <w:widowControl/>
      </w:pPr>
    </w:p>
    <w:p>
      <w:pPr>
        <w:pStyle w:val="S4"/>
        <w:widowControl/>
      </w:pPr>
      <w:r>
        <w:t>8.16. Процесс поддержания безопасности сетей связи следующий:</w:t>
      </w:r>
    </w:p>
    <w:p>
      <w:pPr>
        <w:numPr>
          <w:ilvl w:val="0"/>
          <w:numId w:val="2"/>
        </w:numPr>
        <w:tabs>
          <w:tab w:val="num" w:pos="540"/>
        </w:tabs>
        <w:spacing w:before="120"/>
        <w:ind w:left="538" w:hanging="357"/>
        <w:jc w:val="both"/>
        <w:rPr>
          <w:iCs/>
          <w:szCs w:val="24"/>
          <w:lang w:eastAsia="ru-RU"/>
        </w:rPr>
      </w:pPr>
      <w:bookmarkStart w:id="146" w:name="sub_621"/>
      <w:r>
        <w:rPr>
          <w:iCs/>
          <w:szCs w:val="24"/>
          <w:lang w:eastAsia="ru-RU"/>
        </w:rPr>
        <w:t>формирование</w:t>
      </w:r>
      <w:r>
        <w:rPr>
          <w:szCs w:val="24"/>
        </w:rPr>
        <w:t xml:space="preserve"> </w:t>
      </w:r>
      <w:r>
        <w:rPr>
          <w:iCs/>
          <w:szCs w:val="24"/>
          <w:lang w:eastAsia="ru-RU"/>
        </w:rPr>
        <w:t>СБ</w:t>
      </w:r>
      <w:r>
        <w:rPr>
          <w:szCs w:val="24"/>
        </w:rPr>
        <w:t xml:space="preserve"> совместно с ДИРБП, ДОДЦА, </w:t>
      </w:r>
      <w:r>
        <w:t>СП ОГ, ответственными за ИТ,</w:t>
      </w:r>
      <w:r>
        <w:rPr>
          <w:szCs w:val="24"/>
        </w:rPr>
        <w:t xml:space="preserve"> организационных и технических мероприятий на сетях связи;</w:t>
      </w:r>
    </w:p>
    <w:p>
      <w:pPr>
        <w:numPr>
          <w:ilvl w:val="0"/>
          <w:numId w:val="2"/>
        </w:numPr>
        <w:tabs>
          <w:tab w:val="num" w:pos="540"/>
        </w:tabs>
        <w:spacing w:before="120"/>
        <w:ind w:left="538" w:hanging="357"/>
        <w:jc w:val="both"/>
        <w:rPr>
          <w:iCs/>
          <w:szCs w:val="24"/>
          <w:lang w:eastAsia="ru-RU"/>
        </w:rPr>
      </w:pPr>
      <w:r>
        <w:t xml:space="preserve">своевременное выявление и прогнозирование </w:t>
      </w:r>
      <w:r>
        <w:rPr>
          <w:iCs/>
          <w:szCs w:val="24"/>
          <w:lang w:eastAsia="ru-RU"/>
        </w:rPr>
        <w:t>СБ</w:t>
      </w:r>
      <w:r>
        <w:t xml:space="preserve"> причин и условий, способствующих нарушению нормального функционирования и развития сетей электросвязи;</w:t>
      </w:r>
    </w:p>
    <w:p>
      <w:pPr>
        <w:numPr>
          <w:ilvl w:val="0"/>
          <w:numId w:val="2"/>
        </w:numPr>
        <w:tabs>
          <w:tab w:val="num" w:pos="540"/>
        </w:tabs>
        <w:spacing w:before="120"/>
        <w:ind w:left="538" w:hanging="357"/>
        <w:jc w:val="both"/>
        <w:rPr>
          <w:szCs w:val="24"/>
        </w:rPr>
      </w:pPr>
      <w:bookmarkStart w:id="147" w:name="sub_623"/>
      <w:bookmarkEnd w:id="146"/>
      <w:r>
        <w:rPr>
          <w:szCs w:val="24"/>
        </w:rPr>
        <w:t>рассмотрени</w:t>
      </w:r>
      <w:r>
        <w:rPr>
          <w:iCs/>
          <w:szCs w:val="24"/>
          <w:lang w:eastAsia="ru-RU"/>
        </w:rPr>
        <w:t>е СБ</w:t>
      </w:r>
      <w:r>
        <w:rPr>
          <w:szCs w:val="24"/>
        </w:rPr>
        <w:t xml:space="preserve"> совместно с ДИРБП, ДОДЦА, </w:t>
      </w:r>
      <w:r>
        <w:t>СП ОГ, ответственными за ИТ,</w:t>
      </w:r>
      <w:r>
        <w:rPr>
          <w:szCs w:val="24"/>
        </w:rPr>
        <w:t xml:space="preserve"> вариантов архитектуры/проекта безопасности сетей связи с учетом сетевых сценариев и вопросов сетевых технологий; выбором и документированием архитектуры/проекта безопасности и связанных с ними мер и средств контроля и управления безопасностью сетей связи; согласование </w:t>
      </w:r>
      <w:r>
        <w:rPr>
          <w:iCs/>
          <w:szCs w:val="24"/>
          <w:lang w:eastAsia="ru-RU"/>
        </w:rPr>
        <w:t>СБ</w:t>
      </w:r>
      <w:r>
        <w:rPr>
          <w:szCs w:val="24"/>
        </w:rPr>
        <w:t xml:space="preserve"> предпочтительной архитектуры/проекта безопасности сетей связи;</w:t>
      </w:r>
    </w:p>
    <w:p>
      <w:pPr>
        <w:numPr>
          <w:ilvl w:val="0"/>
          <w:numId w:val="2"/>
        </w:numPr>
        <w:tabs>
          <w:tab w:val="num" w:pos="540"/>
        </w:tabs>
        <w:spacing w:before="120"/>
        <w:ind w:left="538" w:hanging="357"/>
        <w:jc w:val="both"/>
        <w:rPr>
          <w:szCs w:val="24"/>
        </w:rPr>
      </w:pPr>
      <w:bookmarkStart w:id="148" w:name="sub_624"/>
      <w:bookmarkEnd w:id="147"/>
      <w:r>
        <w:rPr>
          <w:szCs w:val="24"/>
        </w:rPr>
        <w:lastRenderedPageBreak/>
        <w:t xml:space="preserve">внедрение </w:t>
      </w:r>
      <w:r>
        <w:rPr>
          <w:iCs/>
          <w:szCs w:val="24"/>
          <w:lang w:eastAsia="ru-RU"/>
        </w:rPr>
        <w:t xml:space="preserve">СБ </w:t>
      </w:r>
      <w:r>
        <w:rPr>
          <w:szCs w:val="24"/>
        </w:rPr>
        <w:t>комплекса программных и технических средств и услуг по обеспечению безопасности сетей связи;</w:t>
      </w:r>
    </w:p>
    <w:p>
      <w:pPr>
        <w:numPr>
          <w:ilvl w:val="0"/>
          <w:numId w:val="2"/>
        </w:numPr>
        <w:tabs>
          <w:tab w:val="num" w:pos="540"/>
        </w:tabs>
        <w:spacing w:before="120"/>
        <w:ind w:left="538" w:hanging="357"/>
        <w:jc w:val="both"/>
        <w:rPr>
          <w:szCs w:val="24"/>
        </w:rPr>
      </w:pPr>
      <w:bookmarkStart w:id="149" w:name="sub_625"/>
      <w:bookmarkEnd w:id="148"/>
      <w:r>
        <w:rPr>
          <w:szCs w:val="24"/>
        </w:rPr>
        <w:t xml:space="preserve">реализация, эксплуатация и осуществление ДИРБП, ДОДЦА, </w:t>
      </w:r>
      <w:r>
        <w:t>СП ОГ, ответственными за ИТ</w:t>
      </w:r>
      <w:r>
        <w:rPr>
          <w:szCs w:val="24"/>
        </w:rPr>
        <w:t xml:space="preserve">, мониторинга сетей связи, подразделениями </w:t>
      </w:r>
      <w:r>
        <w:rPr>
          <w:iCs/>
          <w:szCs w:val="24"/>
          <w:lang w:eastAsia="ru-RU"/>
        </w:rPr>
        <w:t>СБ</w:t>
      </w:r>
      <w:r>
        <w:rPr>
          <w:szCs w:val="24"/>
        </w:rPr>
        <w:t xml:space="preserve"> контроля и управления безопасностью сетей связи;</w:t>
      </w:r>
    </w:p>
    <w:p>
      <w:pPr>
        <w:numPr>
          <w:ilvl w:val="0"/>
          <w:numId w:val="2"/>
        </w:numPr>
        <w:tabs>
          <w:tab w:val="num" w:pos="540"/>
        </w:tabs>
        <w:spacing w:before="120"/>
        <w:ind w:left="538" w:hanging="357"/>
        <w:jc w:val="both"/>
        <w:rPr>
          <w:szCs w:val="24"/>
        </w:rPr>
      </w:pPr>
      <w:bookmarkStart w:id="150" w:name="sub_626"/>
      <w:bookmarkEnd w:id="149"/>
      <w:r>
        <w:rPr>
          <w:szCs w:val="24"/>
        </w:rPr>
        <w:t xml:space="preserve">периодические мониторинг и проверка </w:t>
      </w:r>
      <w:r>
        <w:rPr>
          <w:iCs/>
          <w:szCs w:val="24"/>
          <w:lang w:eastAsia="ru-RU"/>
        </w:rPr>
        <w:t>СБ</w:t>
      </w:r>
      <w:r>
        <w:rPr>
          <w:szCs w:val="24"/>
        </w:rPr>
        <w:t xml:space="preserve"> реализации обеспечения безопасности сети связи, обязательные проверки </w:t>
      </w:r>
      <w:r>
        <w:rPr>
          <w:iCs/>
          <w:szCs w:val="24"/>
          <w:lang w:eastAsia="ru-RU"/>
        </w:rPr>
        <w:t>СБ</w:t>
      </w:r>
      <w:r>
        <w:rPr>
          <w:szCs w:val="24"/>
        </w:rPr>
        <w:t xml:space="preserve"> безопасности при вводе новых элементов инфраструктуры связи и информационных систем в соответствии с </w:t>
      </w:r>
      <w:r>
        <w:rPr>
          <w:iCs/>
          <w:szCs w:val="24"/>
          <w:lang w:eastAsia="ru-RU"/>
        </w:rPr>
        <w:t>Положением Компании «Требования к защите локальных вычислительных сетей Компании, подключаемых в единую корпоративную телекоммуникационную систему ПАО «НК «Роснефть» № П3-11.01 Р-0123 и настоящими Методическим указаниями</w:t>
      </w:r>
      <w:r>
        <w:rPr>
          <w:szCs w:val="24"/>
        </w:rPr>
        <w:t>.</w:t>
      </w:r>
    </w:p>
    <w:bookmarkEnd w:id="150"/>
    <w:p>
      <w:pPr>
        <w:rPr>
          <w:szCs w:val="24"/>
        </w:rPr>
        <w:sectPr>
          <w:headerReference w:type="even" r:id="rId41"/>
          <w:headerReference w:type="default" r:id="rId42"/>
          <w:headerReference w:type="first" r:id="rId43"/>
          <w:pgSz w:w="11906" w:h="16838"/>
          <w:pgMar w:top="510" w:right="1021" w:bottom="567" w:left="1247" w:header="737" w:footer="680" w:gutter="0"/>
          <w:cols w:space="708"/>
          <w:docGrid w:linePitch="360"/>
        </w:sectPr>
      </w:pPr>
    </w:p>
    <w:p>
      <w:pPr>
        <w:pStyle w:val="S1"/>
      </w:pPr>
      <w:bookmarkStart w:id="151" w:name="_Toc153013102"/>
      <w:bookmarkStart w:id="152" w:name="_Toc156727027"/>
      <w:bookmarkStart w:id="153" w:name="_Toc164238421"/>
      <w:bookmarkStart w:id="154" w:name="_Toc326669184"/>
      <w:bookmarkStart w:id="155" w:name="_Toc480899115"/>
      <w:bookmarkEnd w:id="58"/>
      <w:bookmarkEnd w:id="59"/>
      <w:bookmarkEnd w:id="126"/>
      <w:r>
        <w:rPr>
          <w:caps w:val="0"/>
        </w:rPr>
        <w:lastRenderedPageBreak/>
        <w:t>ССЫЛКИ</w:t>
      </w:r>
      <w:bookmarkEnd w:id="151"/>
      <w:bookmarkEnd w:id="152"/>
      <w:bookmarkEnd w:id="153"/>
      <w:bookmarkEnd w:id="154"/>
      <w:bookmarkEnd w:id="155"/>
    </w:p>
    <w:p>
      <w:pPr>
        <w:pStyle w:val="S4"/>
      </w:pPr>
    </w:p>
    <w:p>
      <w:pPr>
        <w:pStyle w:val="S4"/>
        <w:widowControl/>
      </w:pPr>
    </w:p>
    <w:p>
      <w:pPr>
        <w:pStyle w:val="S4"/>
        <w:widowControl/>
        <w:numPr>
          <w:ilvl w:val="0"/>
          <w:numId w:val="15"/>
        </w:numPr>
        <w:ind w:left="567" w:hanging="567"/>
      </w:pPr>
      <w:r>
        <w:t>Федеральный закон от 07.07.2003 № 126-ФЗ «О связи».</w:t>
      </w:r>
    </w:p>
    <w:p>
      <w:pPr>
        <w:pStyle w:val="S4"/>
        <w:widowControl/>
      </w:pPr>
    </w:p>
    <w:p>
      <w:pPr>
        <w:pStyle w:val="S4"/>
        <w:widowControl/>
        <w:numPr>
          <w:ilvl w:val="0"/>
          <w:numId w:val="15"/>
        </w:numPr>
        <w:ind w:left="567" w:hanging="567"/>
      </w:pPr>
      <w:r>
        <w:t>Федеральный закон от 27.07.2006 № 149-ФЗ «Об информации, информационных технологиях и о защите информации».</w:t>
      </w:r>
    </w:p>
    <w:p>
      <w:pPr>
        <w:pStyle w:val="S4"/>
        <w:widowControl/>
      </w:pPr>
    </w:p>
    <w:p>
      <w:pPr>
        <w:pStyle w:val="S4"/>
        <w:widowControl/>
        <w:numPr>
          <w:ilvl w:val="0"/>
          <w:numId w:val="15"/>
        </w:numPr>
        <w:ind w:left="567" w:hanging="567"/>
      </w:pPr>
      <w:r>
        <w:rPr>
          <w:bCs/>
        </w:rPr>
        <w:t>Закона РФ от 21.07.1993 № 5485-1 «О государственной тайне».</w:t>
      </w:r>
    </w:p>
    <w:p/>
    <w:p>
      <w:pPr>
        <w:pStyle w:val="S4"/>
        <w:widowControl/>
        <w:numPr>
          <w:ilvl w:val="0"/>
          <w:numId w:val="15"/>
        </w:numPr>
        <w:ind w:left="567" w:hanging="567"/>
      </w:pPr>
      <w:r>
        <w:rPr>
          <w:bCs/>
        </w:rPr>
        <w:t>Закон РФ от 28.12.2013 № 426-ФЗ «О специальной оценке условий труда».</w:t>
      </w:r>
    </w:p>
    <w:p/>
    <w:p>
      <w:pPr>
        <w:pStyle w:val="S4"/>
        <w:widowControl/>
        <w:numPr>
          <w:ilvl w:val="0"/>
          <w:numId w:val="15"/>
        </w:numPr>
        <w:ind w:left="567" w:hanging="567"/>
      </w:pPr>
      <w:r>
        <w:t>Единое руководство по составлению исполнительной документации на законченные строительством линейные сооружения проводной связи, утвержденное Минсвязи СССР 01.10.1991.</w:t>
      </w:r>
    </w:p>
    <w:p>
      <w:pPr>
        <w:pStyle w:val="S4"/>
        <w:widowControl/>
      </w:pPr>
    </w:p>
    <w:p>
      <w:pPr>
        <w:pStyle w:val="S4"/>
        <w:widowControl/>
        <w:numPr>
          <w:ilvl w:val="0"/>
          <w:numId w:val="15"/>
        </w:numPr>
        <w:ind w:left="567" w:hanging="567"/>
      </w:pPr>
      <w:r>
        <w:rPr>
          <w:color w:val="000000"/>
        </w:rPr>
        <w:t>Методические указания по инвентаризации имущества и финансовых обязательств, утвержденные приказом Минфина РФ от 13.06.1995 № 49.</w:t>
      </w:r>
    </w:p>
    <w:p/>
    <w:p>
      <w:pPr>
        <w:pStyle w:val="S4"/>
        <w:widowControl/>
        <w:numPr>
          <w:ilvl w:val="0"/>
          <w:numId w:val="15"/>
        </w:numPr>
        <w:ind w:left="567" w:hanging="567"/>
      </w:pPr>
      <w:r>
        <w:t>Перечень средств связи, подлежащих обязательной сертификации, утвержденный постановлением Правительства РФ от 25.06.2009 № 532.</w:t>
      </w:r>
    </w:p>
    <w:p/>
    <w:p>
      <w:pPr>
        <w:pStyle w:val="S4"/>
        <w:widowControl/>
        <w:numPr>
          <w:ilvl w:val="0"/>
          <w:numId w:val="15"/>
        </w:numPr>
        <w:ind w:left="567" w:hanging="567"/>
      </w:pPr>
      <w:r>
        <w:t>Положение о составе разделов проектной документации и требованиях к их содержанию, утвержденное постановлением Правительства РФ от 16.02.2008 № 87.</w:t>
      </w:r>
    </w:p>
    <w:p/>
    <w:p>
      <w:pPr>
        <w:pStyle w:val="S4"/>
        <w:widowControl/>
        <w:numPr>
          <w:ilvl w:val="0"/>
          <w:numId w:val="15"/>
        </w:numPr>
        <w:ind w:left="567" w:hanging="567"/>
      </w:pPr>
      <w:r>
        <w:t>Правила охраны линий и сооружений связи Российской Федерации, утвержденные постановлением Правительства РФ от 09.06.1995 № 578.</w:t>
      </w:r>
    </w:p>
    <w:p>
      <w:pPr>
        <w:pStyle w:val="S4"/>
        <w:widowControl/>
      </w:pPr>
    </w:p>
    <w:p>
      <w:pPr>
        <w:pStyle w:val="S4"/>
        <w:widowControl/>
        <w:numPr>
          <w:ilvl w:val="0"/>
          <w:numId w:val="15"/>
        </w:numPr>
        <w:ind w:left="567" w:hanging="567"/>
      </w:pPr>
      <w:r>
        <w:t>Порядок разработки и согласования специальных технических условий для разработки проектной документации на объект капитального строительства, утвержденный приказом Минстроя России от 15.04.2016 № 248/пр.</w:t>
      </w:r>
    </w:p>
    <w:p>
      <w:pPr>
        <w:pStyle w:val="S4"/>
        <w:widowControl/>
      </w:pPr>
    </w:p>
    <w:p>
      <w:pPr>
        <w:pStyle w:val="S4"/>
        <w:widowControl/>
        <w:numPr>
          <w:ilvl w:val="0"/>
          <w:numId w:val="15"/>
        </w:numPr>
        <w:ind w:left="567" w:hanging="567"/>
      </w:pPr>
      <w:r>
        <w:t>Правила по охране труда при эксплуатации электроустановок, утвержденные приказом Минтруда России от 24.07.2013 № 328н.</w:t>
      </w:r>
    </w:p>
    <w:p>
      <w:pPr>
        <w:pStyle w:val="S4"/>
        <w:widowControl/>
      </w:pPr>
    </w:p>
    <w:p>
      <w:pPr>
        <w:pStyle w:val="S4"/>
        <w:widowControl/>
        <w:numPr>
          <w:ilvl w:val="0"/>
          <w:numId w:val="15"/>
        </w:numPr>
        <w:ind w:left="567" w:hanging="567"/>
      </w:pPr>
      <w:r>
        <w:rPr>
          <w:lang w:val="en-US"/>
        </w:rPr>
        <w:t xml:space="preserve">ISO/IEC 11801 Information technology – Generic cabling for customer premises = </w:t>
      </w:r>
      <w:r>
        <w:t>Информационные</w:t>
      </w:r>
      <w:r>
        <w:rPr>
          <w:lang w:val="en-US"/>
        </w:rPr>
        <w:t xml:space="preserve"> </w:t>
      </w:r>
      <w:r>
        <w:t>технологии</w:t>
      </w:r>
      <w:r>
        <w:rPr>
          <w:lang w:val="en-US"/>
        </w:rPr>
        <w:t xml:space="preserve">. </w:t>
      </w:r>
      <w:r>
        <w:t>Структурированная кабельная система для помещений заказчиков.</w:t>
      </w:r>
    </w:p>
    <w:p>
      <w:pPr>
        <w:pStyle w:val="S4"/>
        <w:widowControl/>
      </w:pPr>
    </w:p>
    <w:p>
      <w:pPr>
        <w:pStyle w:val="S4"/>
        <w:widowControl/>
        <w:numPr>
          <w:ilvl w:val="0"/>
          <w:numId w:val="15"/>
        </w:numPr>
        <w:ind w:left="567" w:hanging="567"/>
      </w:pPr>
      <w:r>
        <w:rPr>
          <w:lang w:val="en-US"/>
        </w:rPr>
        <w:t>ISO/IEC 18010 Information technology – Pathways and spaces for customer premises cabling = </w:t>
      </w:r>
      <w:r>
        <w:t>Информационные</w:t>
      </w:r>
      <w:r>
        <w:rPr>
          <w:lang w:val="en-US"/>
        </w:rPr>
        <w:t xml:space="preserve"> технологии. </w:t>
      </w:r>
      <w:r>
        <w:t>Магистрали и промежутки для прокладки кабелей в помещениях пользователей телекоммуникационных систем.</w:t>
      </w:r>
    </w:p>
    <w:p>
      <w:pPr>
        <w:pStyle w:val="S4"/>
        <w:widowControl/>
      </w:pPr>
    </w:p>
    <w:p>
      <w:pPr>
        <w:pStyle w:val="S4"/>
        <w:widowControl/>
        <w:numPr>
          <w:ilvl w:val="0"/>
          <w:numId w:val="15"/>
        </w:numPr>
        <w:ind w:left="567" w:hanging="567"/>
      </w:pPr>
      <w:r>
        <w:t>ВСН 45.122-77 Инструкции по проектированию искусственного освещения предприятий связи.</w:t>
      </w:r>
    </w:p>
    <w:p>
      <w:pPr>
        <w:pStyle w:val="S4"/>
        <w:widowControl/>
      </w:pPr>
    </w:p>
    <w:p>
      <w:pPr>
        <w:pStyle w:val="S4"/>
        <w:widowControl/>
        <w:numPr>
          <w:ilvl w:val="0"/>
          <w:numId w:val="15"/>
        </w:numPr>
        <w:ind w:left="567" w:hanging="567"/>
      </w:pPr>
      <w:r>
        <w:t>ГОСТ Р ИСО/МЭК 27002-2012 Информационная технология. Методы и средства обеспечения безопасности. Свод норм и правил менеджмента информационной безопасности.</w:t>
      </w:r>
    </w:p>
    <w:p>
      <w:pPr>
        <w:pStyle w:val="S4"/>
        <w:widowControl/>
      </w:pPr>
    </w:p>
    <w:p>
      <w:pPr>
        <w:pStyle w:val="S4"/>
        <w:widowControl/>
        <w:numPr>
          <w:ilvl w:val="0"/>
          <w:numId w:val="15"/>
        </w:numPr>
        <w:ind w:left="567" w:hanging="567"/>
      </w:pPr>
      <w:r>
        <w:rPr>
          <w:bCs/>
        </w:rPr>
        <w:lastRenderedPageBreak/>
        <w:t>ГОСТ Р 54934-2012/OHSAS 18001:2007 Системы менеджмента безопасности труда и охраны здоровья. Требования.</w:t>
      </w:r>
    </w:p>
    <w:p>
      <w:pPr>
        <w:pStyle w:val="S4"/>
        <w:widowControl/>
      </w:pPr>
    </w:p>
    <w:p>
      <w:pPr>
        <w:pStyle w:val="S4"/>
        <w:widowControl/>
        <w:numPr>
          <w:ilvl w:val="0"/>
          <w:numId w:val="15"/>
        </w:numPr>
        <w:ind w:left="567" w:hanging="567"/>
      </w:pPr>
      <w:r>
        <w:t>ГОСТ Р МЭК 60950-2002 Безопасность оборудования информационных технологий.</w:t>
      </w:r>
    </w:p>
    <w:p>
      <w:pPr>
        <w:pStyle w:val="S4"/>
        <w:widowControl/>
      </w:pPr>
    </w:p>
    <w:p>
      <w:pPr>
        <w:pStyle w:val="S4"/>
        <w:widowControl/>
        <w:numPr>
          <w:ilvl w:val="0"/>
          <w:numId w:val="15"/>
        </w:numPr>
        <w:ind w:left="567" w:hanging="567"/>
      </w:pPr>
      <w:r>
        <w:t>ГОСТ ЕН 1070-2003 Безопасность оборудования. Термины и определения.</w:t>
      </w:r>
    </w:p>
    <w:p>
      <w:pPr>
        <w:pStyle w:val="S4"/>
        <w:widowControl/>
      </w:pPr>
    </w:p>
    <w:p>
      <w:pPr>
        <w:pStyle w:val="S4"/>
        <w:widowControl/>
        <w:numPr>
          <w:ilvl w:val="0"/>
          <w:numId w:val="15"/>
        </w:numPr>
        <w:ind w:left="567" w:hanging="567"/>
      </w:pPr>
      <w:r>
        <w:t>ГОСТ 2.105-95 Единая система конструкторской документации. Общие требования к текстовым документам.</w:t>
      </w:r>
    </w:p>
    <w:p/>
    <w:p>
      <w:pPr>
        <w:pStyle w:val="S4"/>
        <w:widowControl/>
        <w:numPr>
          <w:ilvl w:val="0"/>
          <w:numId w:val="15"/>
        </w:numPr>
        <w:ind w:left="567" w:hanging="567"/>
      </w:pPr>
      <w:r>
        <w:t>ГОСТ 28601.1-90 Система несущих конструкций серии 482,6 мм. Панели и стойки. Основные размеры.</w:t>
      </w:r>
    </w:p>
    <w:p/>
    <w:p>
      <w:pPr>
        <w:pStyle w:val="S4"/>
        <w:widowControl/>
        <w:numPr>
          <w:ilvl w:val="0"/>
          <w:numId w:val="15"/>
        </w:numPr>
        <w:ind w:left="567" w:hanging="567"/>
      </w:pPr>
      <w:r>
        <w:t>ГОСТ 28601.2-90 Система несущих конструкций серии 482,6 мм. Шкафы и стоечные конструкции. Основные размеры.</w:t>
      </w:r>
    </w:p>
    <w:p/>
    <w:p>
      <w:pPr>
        <w:pStyle w:val="S4"/>
        <w:widowControl/>
        <w:numPr>
          <w:ilvl w:val="0"/>
          <w:numId w:val="15"/>
        </w:numPr>
        <w:ind w:left="567" w:hanging="567"/>
      </w:pPr>
      <w:r>
        <w:t>ГОСТ Р МЭК 60715-2003 Аппаратура распределения и управления низковольтная. Установка и крепление на рейках электрических аппаратов в низковольтных комплектных устройствах распределения и управления.</w:t>
      </w:r>
    </w:p>
    <w:p/>
    <w:p>
      <w:pPr>
        <w:pStyle w:val="S4"/>
        <w:widowControl/>
        <w:numPr>
          <w:ilvl w:val="0"/>
          <w:numId w:val="15"/>
        </w:numPr>
        <w:ind w:left="567" w:hanging="567"/>
      </w:pPr>
      <w:r>
        <w:t>ГОСТ Р 54429-2011 Кабели связи симметричные для цифровых систем передачи. Общие технические условия.</w:t>
      </w:r>
    </w:p>
    <w:p/>
    <w:p>
      <w:pPr>
        <w:pStyle w:val="S4"/>
        <w:widowControl/>
        <w:numPr>
          <w:ilvl w:val="0"/>
          <w:numId w:val="15"/>
        </w:numPr>
        <w:ind w:left="567" w:hanging="567"/>
      </w:pPr>
      <w:r>
        <w:t>ГОСТ Р 53245-2008 Информационные технологии. Системы кабельные структурированные. Монтаж основных узлов системы. Методы испытания.</w:t>
      </w:r>
    </w:p>
    <w:p>
      <w:pPr>
        <w:pStyle w:val="S4"/>
        <w:widowControl/>
      </w:pPr>
    </w:p>
    <w:p>
      <w:pPr>
        <w:pStyle w:val="S4"/>
        <w:widowControl/>
        <w:numPr>
          <w:ilvl w:val="0"/>
          <w:numId w:val="15"/>
        </w:numPr>
        <w:ind w:left="567" w:hanging="567"/>
      </w:pPr>
      <w:r>
        <w:t>ГОСТ Р 21.1101-2013 Система проектной документации для строительства. Основные требования к проектной и рабочей документации.</w:t>
      </w:r>
    </w:p>
    <w:p>
      <w:pPr>
        <w:pStyle w:val="S4"/>
        <w:widowControl/>
      </w:pPr>
    </w:p>
    <w:p>
      <w:pPr>
        <w:pStyle w:val="S4"/>
        <w:widowControl/>
        <w:numPr>
          <w:ilvl w:val="0"/>
          <w:numId w:val="15"/>
        </w:numPr>
        <w:ind w:left="567" w:hanging="567"/>
      </w:pPr>
      <w:r>
        <w:t>ГОСТ Р 21.1703-2000 Система проектной документации для строительства. Правила выполнения рабочей документации проводных средств связи.</w:t>
      </w:r>
    </w:p>
    <w:p>
      <w:pPr>
        <w:pStyle w:val="S4"/>
        <w:widowControl/>
      </w:pPr>
    </w:p>
    <w:p>
      <w:pPr>
        <w:pStyle w:val="S4"/>
        <w:widowControl/>
        <w:numPr>
          <w:ilvl w:val="0"/>
          <w:numId w:val="15"/>
        </w:numPr>
        <w:ind w:left="567" w:hanging="567"/>
      </w:pPr>
      <w:r>
        <w:t>ГОСТ 2.601-2013 Единая система конструкторской документации. Эксплуатационные документы.</w:t>
      </w:r>
    </w:p>
    <w:p>
      <w:pPr>
        <w:pStyle w:val="S4"/>
        <w:widowControl/>
      </w:pPr>
    </w:p>
    <w:p>
      <w:pPr>
        <w:pStyle w:val="S4"/>
        <w:widowControl/>
        <w:numPr>
          <w:ilvl w:val="0"/>
          <w:numId w:val="15"/>
        </w:numPr>
        <w:ind w:left="567" w:hanging="567"/>
      </w:pPr>
      <w: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p>
      <w:pPr>
        <w:pStyle w:val="S4"/>
        <w:widowControl/>
        <w:numPr>
          <w:ilvl w:val="0"/>
          <w:numId w:val="15"/>
        </w:numPr>
        <w:ind w:left="567" w:hanging="567"/>
      </w:pPr>
      <w:r>
        <w:t>ГОСТ Р 50648-94 (МЭК 1000-4-8-93) Совместимость технических средств электромагнитная. Устойчивость к магнитному полю промышленной частоты. Технические требования и методы испытаний.</w:t>
      </w:r>
    </w:p>
    <w:p>
      <w:pPr>
        <w:pStyle w:val="S4"/>
        <w:widowControl/>
      </w:pPr>
    </w:p>
    <w:p>
      <w:pPr>
        <w:pStyle w:val="S4"/>
        <w:widowControl/>
        <w:numPr>
          <w:ilvl w:val="0"/>
          <w:numId w:val="15"/>
        </w:numPr>
        <w:ind w:left="567" w:hanging="567"/>
      </w:pPr>
      <w:r>
        <w:t>ГОСТ Р 53246-2008 Информационные технологии. Системы кабельные структурированные. Проектирование основных узлов системы. Общие требования.</w:t>
      </w:r>
    </w:p>
    <w:p>
      <w:pPr>
        <w:pStyle w:val="S4"/>
        <w:widowControl/>
      </w:pPr>
    </w:p>
    <w:p>
      <w:pPr>
        <w:pStyle w:val="S4"/>
        <w:widowControl/>
        <w:numPr>
          <w:ilvl w:val="0"/>
          <w:numId w:val="15"/>
        </w:numPr>
        <w:ind w:left="567" w:hanging="567"/>
      </w:pPr>
      <w:r>
        <w:t>РД 45.156-2000 Состав исполнительной документации на законченные строительством линейные сооружения магистральных и внутризоновых ВОЛП.</w:t>
      </w:r>
    </w:p>
    <w:p>
      <w:pPr>
        <w:pStyle w:val="S4"/>
        <w:widowControl/>
      </w:pPr>
    </w:p>
    <w:p>
      <w:pPr>
        <w:pStyle w:val="S4"/>
        <w:widowControl/>
        <w:numPr>
          <w:ilvl w:val="0"/>
          <w:numId w:val="15"/>
        </w:numPr>
        <w:ind w:left="567" w:hanging="567"/>
      </w:pPr>
      <w:r>
        <w:t>РД 78.145-93 Системы и комплексы охранной, пожарной и охранно-пожарной сигнализации. Правила производства и приемки работ.</w:t>
      </w:r>
    </w:p>
    <w:p>
      <w:pPr>
        <w:pStyle w:val="S4"/>
        <w:widowControl/>
        <w:numPr>
          <w:ilvl w:val="0"/>
          <w:numId w:val="15"/>
        </w:numPr>
        <w:ind w:left="567" w:hanging="567"/>
      </w:pPr>
      <w:r>
        <w:lastRenderedPageBreak/>
        <w:t>РД 45.120-2000 (НТП 112-2000) Нормы технологического проектирования. Городские и сельские телефонные сети.</w:t>
      </w:r>
    </w:p>
    <w:p>
      <w:pPr>
        <w:pStyle w:val="S4"/>
        <w:widowControl/>
      </w:pPr>
    </w:p>
    <w:p>
      <w:pPr>
        <w:pStyle w:val="S4"/>
        <w:widowControl/>
        <w:numPr>
          <w:ilvl w:val="0"/>
          <w:numId w:val="15"/>
        </w:numPr>
        <w:ind w:left="567" w:hanging="567"/>
      </w:pPr>
      <w:r>
        <w:t>СН 512-78 Инструкция по проектированию зданий и помещений для электронно-вычислительных машин.</w:t>
      </w:r>
    </w:p>
    <w:p>
      <w:pPr>
        <w:pStyle w:val="S4"/>
        <w:widowControl/>
      </w:pPr>
    </w:p>
    <w:p>
      <w:pPr>
        <w:pStyle w:val="S4"/>
        <w:widowControl/>
        <w:numPr>
          <w:ilvl w:val="0"/>
          <w:numId w:val="15"/>
        </w:numPr>
        <w:ind w:left="567" w:hanging="567"/>
      </w:pPr>
      <w:r>
        <w:t>СНиП 2.01.07-85 Нагрузки и воздействия.</w:t>
      </w:r>
    </w:p>
    <w:p>
      <w:pPr>
        <w:pStyle w:val="S4"/>
        <w:widowControl/>
      </w:pPr>
    </w:p>
    <w:p>
      <w:pPr>
        <w:pStyle w:val="S4"/>
        <w:widowControl/>
        <w:numPr>
          <w:ilvl w:val="0"/>
          <w:numId w:val="15"/>
        </w:numPr>
        <w:ind w:left="567" w:hanging="567"/>
      </w:pPr>
      <w:r>
        <w:t>СНиП 21-01-97 Пожарная безопасность зданий и сооружений.</w:t>
      </w:r>
    </w:p>
    <w:p>
      <w:pPr>
        <w:pStyle w:val="S4"/>
        <w:widowControl/>
      </w:pPr>
    </w:p>
    <w:p>
      <w:pPr>
        <w:pStyle w:val="S4"/>
        <w:widowControl/>
        <w:numPr>
          <w:ilvl w:val="0"/>
          <w:numId w:val="15"/>
        </w:numPr>
        <w:ind w:left="567" w:hanging="567"/>
      </w:pPr>
      <w:r>
        <w:t>СНиП 31-03-2001 Производственные здания.</w:t>
      </w:r>
    </w:p>
    <w:p>
      <w:pPr>
        <w:pStyle w:val="S4"/>
        <w:widowControl/>
      </w:pPr>
    </w:p>
    <w:p>
      <w:pPr>
        <w:pStyle w:val="S4"/>
        <w:widowControl/>
        <w:numPr>
          <w:ilvl w:val="0"/>
          <w:numId w:val="15"/>
        </w:numPr>
        <w:ind w:left="567" w:hanging="567"/>
      </w:pPr>
      <w:r>
        <w:t>СП 60.13330.2012 Отопление, вентиляция и кондиционирование воздуха. Актуализированная редакция СНиП 41-01-2003.</w:t>
      </w:r>
    </w:p>
    <w:p>
      <w:pPr>
        <w:pStyle w:val="S4"/>
        <w:widowControl/>
      </w:pPr>
    </w:p>
    <w:p>
      <w:pPr>
        <w:pStyle w:val="S4"/>
        <w:widowControl/>
        <w:numPr>
          <w:ilvl w:val="0"/>
          <w:numId w:val="15"/>
        </w:numPr>
        <w:ind w:left="567" w:hanging="567"/>
      </w:pPr>
      <w:r>
        <w:t>СП 7.13130.2013 Отопление, вентиляция и кондиционирование. Требования пожарной безопасности.</w:t>
      </w:r>
    </w:p>
    <w:p/>
    <w:p>
      <w:pPr>
        <w:pStyle w:val="S4"/>
        <w:widowControl/>
        <w:numPr>
          <w:ilvl w:val="0"/>
          <w:numId w:val="15"/>
        </w:numPr>
        <w:ind w:left="567" w:hanging="567"/>
      </w:pPr>
      <w:r>
        <w:t>СП 52.13330.2011 Естественное и искусственное освещение. Актуализированная редакция СНиП 23-05-95.</w:t>
      </w:r>
    </w:p>
    <w:p>
      <w:pPr>
        <w:pStyle w:val="S4"/>
        <w:widowControl/>
      </w:pPr>
    </w:p>
    <w:p>
      <w:pPr>
        <w:pStyle w:val="S4"/>
        <w:widowControl/>
        <w:numPr>
          <w:ilvl w:val="0"/>
          <w:numId w:val="15"/>
        </w:numPr>
        <w:ind w:left="567" w:hanging="567"/>
      </w:pPr>
      <w:r>
        <w:t xml:space="preserve">Политика Компании «Концепция информационно-технической безопасности ОАО «НК «Роснефть» № П3-11.01 версия 1.00, </w:t>
      </w:r>
      <w:r>
        <w:rPr>
          <w:bCs/>
        </w:rPr>
        <w:t xml:space="preserve">утвержденная </w:t>
      </w:r>
      <w:r>
        <w:t>приказом ОАО «НК «Роснефть» от 14.03.2008 № 124.</w:t>
      </w:r>
    </w:p>
    <w:p/>
    <w:p>
      <w:pPr>
        <w:pStyle w:val="S4"/>
        <w:widowControl/>
        <w:numPr>
          <w:ilvl w:val="0"/>
          <w:numId w:val="15"/>
        </w:numPr>
        <w:ind w:left="567" w:hanging="567"/>
      </w:pPr>
      <w:bookmarkStart w:id="156" w:name="_Toc106767422"/>
      <w:bookmarkStart w:id="157" w:name="_Toc106767916"/>
      <w:bookmarkStart w:id="158" w:name="_Toc106772855"/>
      <w:bookmarkStart w:id="159" w:name="_Toc106105741"/>
      <w:bookmarkStart w:id="160" w:name="_Toc106715206"/>
      <w:bookmarkStart w:id="161" w:name="_Toc125284624"/>
      <w:bookmarkStart w:id="162" w:name="_Toc130184866"/>
      <w:bookmarkStart w:id="163" w:name="_Toc181371872"/>
      <w:bookmarkStart w:id="164" w:name="_Toc167615881"/>
      <w:r>
        <w:rPr>
          <w:iCs/>
        </w:rPr>
        <w:t xml:space="preserve">Положение Компании «Требования к защите локальных вычислительных сетей </w:t>
      </w:r>
      <w:r>
        <w:rPr>
          <w:iCs/>
        </w:rPr>
        <w:br/>
        <w:t xml:space="preserve">Компании, подключаемых в единую корпоративную телекоммуникационную систему ПАО «НК «Роснефть» № П3-11.01 Р-0123, </w:t>
      </w:r>
      <w:r>
        <w:rPr>
          <w:bCs/>
        </w:rPr>
        <w:t xml:space="preserve">версия 1.00, утвержденное </w:t>
      </w:r>
      <w:r>
        <w:t xml:space="preserve">приказом ПАО «НК «Роснефть» </w:t>
      </w:r>
      <w:r>
        <w:rPr>
          <w:rStyle w:val="urtxtstd"/>
        </w:rPr>
        <w:t>от 26.12.2016 № 804.</w:t>
      </w:r>
    </w:p>
    <w:p/>
    <w:p>
      <w:pPr>
        <w:pStyle w:val="S4"/>
        <w:widowControl/>
        <w:numPr>
          <w:ilvl w:val="0"/>
          <w:numId w:val="15"/>
        </w:numPr>
        <w:ind w:left="567" w:hanging="567"/>
      </w:pPr>
      <w:r>
        <w:t>М</w:t>
      </w:r>
      <w:bookmarkEnd w:id="156"/>
      <w:bookmarkEnd w:id="157"/>
      <w:bookmarkEnd w:id="158"/>
      <w:bookmarkEnd w:id="159"/>
      <w:bookmarkEnd w:id="160"/>
      <w:bookmarkEnd w:id="161"/>
      <w:bookmarkEnd w:id="162"/>
      <w:r>
        <w:t>етодические указания</w:t>
      </w:r>
      <w:bookmarkEnd w:id="163"/>
      <w:r>
        <w:t xml:space="preserve"> </w:t>
      </w:r>
      <w:bookmarkEnd w:id="164"/>
      <w:r>
        <w:t>Компании</w:t>
      </w:r>
      <w:bookmarkStart w:id="165" w:name="_Toc125284625"/>
      <w:bookmarkStart w:id="166" w:name="_Toc130184867"/>
      <w:bookmarkStart w:id="167" w:name="_Toc167615882"/>
      <w:bookmarkStart w:id="168" w:name="_Toc106767423"/>
      <w:bookmarkStart w:id="169" w:name="_Toc106767917"/>
      <w:bookmarkStart w:id="170" w:name="_Toc106772856"/>
      <w:bookmarkStart w:id="171" w:name="_Toc105827833"/>
      <w:bookmarkStart w:id="172" w:name="_Toc105829486"/>
      <w:bookmarkStart w:id="173" w:name="_Toc106105742"/>
      <w:bookmarkStart w:id="174" w:name="_Toc106715207"/>
      <w:bookmarkStart w:id="175" w:name="_Toc181371873"/>
      <w:r>
        <w:t xml:space="preserve"> «Оборудование объектов Компании инженерно-техническими средствами охраны</w:t>
      </w:r>
      <w:bookmarkEnd w:id="165"/>
      <w:bookmarkEnd w:id="166"/>
      <w:bookmarkEnd w:id="167"/>
      <w:bookmarkEnd w:id="168"/>
      <w:bookmarkEnd w:id="169"/>
      <w:bookmarkEnd w:id="170"/>
      <w:bookmarkEnd w:id="171"/>
      <w:bookmarkEnd w:id="172"/>
      <w:bookmarkEnd w:id="173"/>
      <w:bookmarkEnd w:id="174"/>
      <w:bookmarkEnd w:id="175"/>
      <w:r>
        <w:t>» № П3-11.01 М-0003 версия 2.00, утвержденные приказом ОАО «НК «Роснефть» от 15.04.2014 № 201.</w:t>
      </w:r>
    </w:p>
    <w:p>
      <w:pPr>
        <w:pStyle w:val="S4"/>
        <w:widowControl/>
      </w:pPr>
      <w:bookmarkStart w:id="176" w:name="_Toc153013103"/>
      <w:bookmarkStart w:id="177" w:name="_Toc156727028"/>
      <w:bookmarkStart w:id="178" w:name="_Toc164238422"/>
    </w:p>
    <w:p>
      <w:pPr>
        <w:sectPr>
          <w:headerReference w:type="even" r:id="rId44"/>
          <w:headerReference w:type="default" r:id="rId45"/>
          <w:headerReference w:type="first" r:id="rId46"/>
          <w:pgSz w:w="11906" w:h="16838"/>
          <w:pgMar w:top="510" w:right="1021" w:bottom="567" w:left="1247" w:header="737" w:footer="680" w:gutter="0"/>
          <w:cols w:space="708"/>
          <w:docGrid w:linePitch="360"/>
        </w:sectPr>
      </w:pPr>
    </w:p>
    <w:p>
      <w:pPr>
        <w:pStyle w:val="S1"/>
        <w:tabs>
          <w:tab w:val="left" w:pos="709"/>
        </w:tabs>
        <w:ind w:left="0" w:firstLine="0"/>
      </w:pPr>
      <w:bookmarkStart w:id="179" w:name="_Toc326669185"/>
      <w:bookmarkStart w:id="180" w:name="_Toc480899116"/>
      <w:r>
        <w:rPr>
          <w:caps w:val="0"/>
        </w:rPr>
        <w:lastRenderedPageBreak/>
        <w:t>БИБЛИОГРАФИЯ</w:t>
      </w:r>
      <w:bookmarkEnd w:id="176"/>
      <w:bookmarkEnd w:id="177"/>
      <w:bookmarkEnd w:id="178"/>
      <w:bookmarkEnd w:id="179"/>
      <w:bookmarkEnd w:id="180"/>
    </w:p>
    <w:p>
      <w:pPr>
        <w:pStyle w:val="S4"/>
        <w:widowControl/>
      </w:pPr>
    </w:p>
    <w:p>
      <w:pPr>
        <w:pStyle w:val="S4"/>
        <w:widowControl/>
      </w:pPr>
    </w:p>
    <w:p>
      <w:pPr>
        <w:pStyle w:val="S4"/>
        <w:widowControl/>
        <w:numPr>
          <w:ilvl w:val="0"/>
          <w:numId w:val="24"/>
        </w:numPr>
        <w:ind w:left="567" w:hanging="567"/>
      </w:pPr>
      <w:r>
        <w:rPr>
          <w:lang w:val="en-US"/>
        </w:rPr>
        <w:t>ASI</w:t>
      </w:r>
      <w:r>
        <w:t>/</w:t>
      </w:r>
      <w:r>
        <w:rPr>
          <w:lang w:val="en-US"/>
        </w:rPr>
        <w:t>TIA</w:t>
      </w:r>
      <w:r>
        <w:t xml:space="preserve"> 942-2005 </w:t>
      </w:r>
      <w:r>
        <w:rPr>
          <w:lang w:val="en-US"/>
        </w:rPr>
        <w:t>Telecommunications</w:t>
      </w:r>
      <w:r>
        <w:t xml:space="preserve"> </w:t>
      </w:r>
      <w:r>
        <w:rPr>
          <w:lang w:val="en-US"/>
        </w:rPr>
        <w:t>Infrastructure</w:t>
      </w:r>
      <w:r>
        <w:t xml:space="preserve"> </w:t>
      </w:r>
      <w:r>
        <w:rPr>
          <w:lang w:val="en-US"/>
        </w:rPr>
        <w:t>Standard</w:t>
      </w:r>
      <w:r>
        <w:t xml:space="preserve"> </w:t>
      </w:r>
      <w:r>
        <w:rPr>
          <w:lang w:val="en-US"/>
        </w:rPr>
        <w:t>for</w:t>
      </w:r>
      <w:r>
        <w:t xml:space="preserve"> </w:t>
      </w:r>
      <w:r>
        <w:rPr>
          <w:lang w:val="en-US"/>
        </w:rPr>
        <w:t>Data</w:t>
      </w:r>
      <w:r>
        <w:t xml:space="preserve"> </w:t>
      </w:r>
      <w:r>
        <w:rPr>
          <w:lang w:val="en-US"/>
        </w:rPr>
        <w:t>Centers</w:t>
      </w:r>
      <w:r>
        <w:t> = Стандартная телекоммуникационная инфраструктура для центров обработки данных.</w:t>
      </w:r>
    </w:p>
    <w:p>
      <w:pPr>
        <w:pStyle w:val="S4"/>
        <w:widowControl/>
        <w:ind w:left="567" w:hanging="567"/>
      </w:pPr>
    </w:p>
    <w:p>
      <w:pPr>
        <w:pStyle w:val="S4"/>
        <w:widowControl/>
        <w:numPr>
          <w:ilvl w:val="0"/>
          <w:numId w:val="24"/>
        </w:numPr>
        <w:ind w:left="567" w:hanging="567"/>
      </w:pPr>
      <w:r>
        <w:rPr>
          <w:lang w:val="en-US"/>
        </w:rPr>
        <w:t>ASI</w:t>
      </w:r>
      <w:r>
        <w:t>/</w:t>
      </w:r>
      <w:r>
        <w:rPr>
          <w:lang w:val="en-US"/>
        </w:rPr>
        <w:t>TIA</w:t>
      </w:r>
      <w:r>
        <w:t>/</w:t>
      </w:r>
      <w:r>
        <w:rPr>
          <w:lang w:val="en-US"/>
        </w:rPr>
        <w:t>EIA</w:t>
      </w:r>
      <w:r>
        <w:t>-568-</w:t>
      </w:r>
      <w:r>
        <w:rPr>
          <w:lang w:val="en-US"/>
        </w:rPr>
        <w:t>B</w:t>
      </w:r>
      <w:r>
        <w:t xml:space="preserve"> (</w:t>
      </w:r>
      <w:r>
        <w:rPr>
          <w:lang w:val="en-US"/>
        </w:rPr>
        <w:t>CSA</w:t>
      </w:r>
      <w:r>
        <w:t xml:space="preserve"> </w:t>
      </w:r>
      <w:r>
        <w:rPr>
          <w:lang w:val="en-US"/>
        </w:rPr>
        <w:t>T</w:t>
      </w:r>
      <w:r>
        <w:t xml:space="preserve">520-95) </w:t>
      </w:r>
      <w:r>
        <w:rPr>
          <w:lang w:val="en-US"/>
        </w:rPr>
        <w:t>Commercial</w:t>
      </w:r>
      <w:r>
        <w:t xml:space="preserve"> </w:t>
      </w:r>
      <w:r>
        <w:rPr>
          <w:lang w:val="en-US"/>
        </w:rPr>
        <w:t>building</w:t>
      </w:r>
      <w:r>
        <w:t xml:space="preserve"> </w:t>
      </w:r>
      <w:r>
        <w:rPr>
          <w:lang w:val="en-US"/>
        </w:rPr>
        <w:t>telecommunications</w:t>
      </w:r>
      <w:r>
        <w:t xml:space="preserve"> </w:t>
      </w:r>
      <w:r>
        <w:rPr>
          <w:lang w:val="en-US"/>
        </w:rPr>
        <w:t>standard</w:t>
      </w:r>
      <w:r>
        <w:t> = Телекоммуникационные стандарты коммерческих зданий.</w:t>
      </w:r>
    </w:p>
    <w:p>
      <w:pPr>
        <w:pStyle w:val="S4"/>
        <w:widowControl/>
        <w:ind w:left="567" w:hanging="567"/>
      </w:pPr>
    </w:p>
    <w:p>
      <w:pPr>
        <w:pStyle w:val="S4"/>
        <w:widowControl/>
        <w:numPr>
          <w:ilvl w:val="0"/>
          <w:numId w:val="24"/>
        </w:numPr>
        <w:ind w:left="567" w:hanging="567"/>
      </w:pPr>
      <w:r>
        <w:rPr>
          <w:lang w:val="en-US"/>
        </w:rPr>
        <w:t>ASI</w:t>
      </w:r>
      <w:r>
        <w:t>/</w:t>
      </w:r>
      <w:r>
        <w:rPr>
          <w:lang w:val="en-US"/>
        </w:rPr>
        <w:t>TIA</w:t>
      </w:r>
      <w:r>
        <w:t>/</w:t>
      </w:r>
      <w:r>
        <w:rPr>
          <w:lang w:val="en-US"/>
        </w:rPr>
        <w:t>EIA</w:t>
      </w:r>
      <w:r>
        <w:t>-606-</w:t>
      </w:r>
      <w:r>
        <w:rPr>
          <w:lang w:val="en-US"/>
        </w:rPr>
        <w:t>A</w:t>
      </w:r>
      <w:r>
        <w:t xml:space="preserve"> (</w:t>
      </w:r>
      <w:r>
        <w:rPr>
          <w:lang w:val="en-US"/>
        </w:rPr>
        <w:t>CSA</w:t>
      </w:r>
      <w:r>
        <w:t xml:space="preserve"> </w:t>
      </w:r>
      <w:r>
        <w:rPr>
          <w:lang w:val="en-US"/>
        </w:rPr>
        <w:t>T</w:t>
      </w:r>
      <w:r>
        <w:t xml:space="preserve">528) </w:t>
      </w:r>
      <w:r>
        <w:rPr>
          <w:lang w:val="en-US"/>
        </w:rPr>
        <w:t>Administration</w:t>
      </w:r>
      <w:r>
        <w:t xml:space="preserve"> </w:t>
      </w:r>
      <w:r>
        <w:rPr>
          <w:lang w:val="en-US"/>
        </w:rPr>
        <w:t>standard</w:t>
      </w:r>
      <w:r>
        <w:t xml:space="preserve"> </w:t>
      </w:r>
      <w:r>
        <w:rPr>
          <w:lang w:val="en-US"/>
        </w:rPr>
        <w:t>for</w:t>
      </w:r>
      <w:r>
        <w:t xml:space="preserve"> </w:t>
      </w:r>
      <w:r>
        <w:rPr>
          <w:lang w:val="en-US"/>
        </w:rPr>
        <w:t>the</w:t>
      </w:r>
      <w:r>
        <w:t xml:space="preserve"> </w:t>
      </w:r>
      <w:r>
        <w:rPr>
          <w:lang w:val="en-US"/>
        </w:rPr>
        <w:t>telecommunications</w:t>
      </w:r>
      <w:r>
        <w:t xml:space="preserve"> </w:t>
      </w:r>
      <w:r>
        <w:rPr>
          <w:lang w:val="en-US"/>
        </w:rPr>
        <w:t>infrastructure</w:t>
      </w:r>
      <w:r>
        <w:t xml:space="preserve"> </w:t>
      </w:r>
      <w:r>
        <w:rPr>
          <w:lang w:val="en-US"/>
        </w:rPr>
        <w:t>of</w:t>
      </w:r>
      <w:r>
        <w:t xml:space="preserve"> </w:t>
      </w:r>
      <w:r>
        <w:rPr>
          <w:lang w:val="en-US"/>
        </w:rPr>
        <w:t>commercial</w:t>
      </w:r>
      <w:r>
        <w:t xml:space="preserve"> </w:t>
      </w:r>
      <w:r>
        <w:rPr>
          <w:lang w:val="en-US"/>
        </w:rPr>
        <w:t>buildings</w:t>
      </w:r>
      <w:r>
        <w:t> = Стандарт администрирования телекоммуникационной инфраструктуры коммерческих зданий.</w:t>
      </w:r>
    </w:p>
    <w:p>
      <w:pPr>
        <w:pStyle w:val="S4"/>
        <w:widowControl/>
      </w:pPr>
    </w:p>
    <w:p>
      <w:pPr>
        <w:sectPr>
          <w:headerReference w:type="even" r:id="rId47"/>
          <w:headerReference w:type="default" r:id="rId48"/>
          <w:headerReference w:type="first" r:id="rId49"/>
          <w:pgSz w:w="11906" w:h="16838"/>
          <w:pgMar w:top="510" w:right="1021" w:bottom="567" w:left="1247" w:header="737" w:footer="680" w:gutter="0"/>
          <w:cols w:space="708"/>
          <w:docGrid w:linePitch="360"/>
        </w:sectPr>
      </w:pPr>
    </w:p>
    <w:p>
      <w:pPr>
        <w:pStyle w:val="10"/>
        <w:keepNext w:val="0"/>
        <w:spacing w:before="0" w:after="0"/>
        <w:jc w:val="both"/>
        <w:rPr>
          <w:caps/>
          <w:kern w:val="0"/>
        </w:rPr>
      </w:pPr>
      <w:bookmarkStart w:id="181" w:name="_Toc480899117"/>
      <w:r>
        <w:rPr>
          <w:caps/>
          <w:kern w:val="0"/>
        </w:rPr>
        <w:lastRenderedPageBreak/>
        <w:t>ПРИЛОЖЕНИЯ</w:t>
      </w:r>
      <w:bookmarkEnd w:id="181"/>
    </w:p>
    <w:p>
      <w:pPr>
        <w:pStyle w:val="S4"/>
      </w:pPr>
    </w:p>
    <w:p>
      <w:pPr>
        <w:pStyle w:val="S4"/>
      </w:pPr>
    </w:p>
    <w:p>
      <w:pPr>
        <w:pStyle w:val="a9"/>
        <w:spacing w:before="0" w:beforeAutospacing="0" w:after="0" w:afterAutospacing="0"/>
        <w:jc w:val="right"/>
        <w:rPr>
          <w:rFonts w:ascii="Arial" w:hAnsi="Arial" w:cs="Arial"/>
          <w:b/>
          <w:sz w:val="20"/>
        </w:rPr>
      </w:pPr>
      <w:r>
        <w:rPr>
          <w:rFonts w:ascii="Arial" w:hAnsi="Arial" w:cs="Arial"/>
          <w:b/>
          <w:sz w:val="20"/>
        </w:rPr>
        <w:t xml:space="preserve">Таблица </w:t>
      </w:r>
      <w:r>
        <w:rPr>
          <w:rFonts w:ascii="Arial" w:hAnsi="Arial" w:cs="Arial"/>
          <w:b/>
          <w:sz w:val="20"/>
        </w:rPr>
        <w:fldChar w:fldCharType="begin"/>
      </w:r>
      <w:r>
        <w:rPr>
          <w:rFonts w:ascii="Arial" w:hAnsi="Arial" w:cs="Arial"/>
          <w:b/>
          <w:sz w:val="20"/>
        </w:rPr>
        <w:instrText xml:space="preserve"> SEQ Таблица \* ARABIC </w:instrText>
      </w:r>
      <w:r>
        <w:rPr>
          <w:rFonts w:ascii="Arial" w:hAnsi="Arial" w:cs="Arial"/>
          <w:b/>
          <w:sz w:val="20"/>
        </w:rPr>
        <w:fldChar w:fldCharType="separate"/>
      </w:r>
      <w:r>
        <w:rPr>
          <w:rFonts w:ascii="Arial" w:hAnsi="Arial" w:cs="Arial"/>
          <w:b/>
          <w:noProof/>
          <w:sz w:val="20"/>
        </w:rPr>
        <w:t>4</w:t>
      </w:r>
      <w:r>
        <w:rPr>
          <w:rFonts w:ascii="Arial" w:hAnsi="Arial" w:cs="Arial"/>
          <w:b/>
          <w:sz w:val="20"/>
        </w:rPr>
        <w:fldChar w:fldCharType="end"/>
      </w:r>
    </w:p>
    <w:p>
      <w:pPr>
        <w:pStyle w:val="16"/>
        <w:spacing w:after="60"/>
        <w:jc w:val="right"/>
        <w:rPr>
          <w:rFonts w:ascii="Arial" w:hAnsi="Arial" w:cs="Arial"/>
          <w:color w:val="auto"/>
        </w:rPr>
      </w:pPr>
      <w:r>
        <w:rPr>
          <w:rFonts w:ascii="Arial" w:hAnsi="Arial" w:cs="Arial"/>
          <w:color w:val="auto"/>
        </w:rPr>
        <w:t>Перечень Приложений к Методическим указаниям Компании</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427"/>
        <w:gridCol w:w="5465"/>
        <w:gridCol w:w="2962"/>
      </w:tblGrid>
      <w:tr>
        <w:tc>
          <w:tcPr>
            <w:tcW w:w="724"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НАИМЕНОВАНИЕ ПРИЛОЖЕНИЯ</w:t>
            </w:r>
          </w:p>
        </w:tc>
        <w:tc>
          <w:tcPr>
            <w:tcW w:w="1503"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ПРИМЕЧАНИЕ</w:t>
            </w:r>
          </w:p>
        </w:tc>
      </w:tr>
      <w:tr>
        <w:tc>
          <w:tcPr>
            <w:tcW w:w="724"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tcBorders>
            <w:shd w:val="clear" w:color="auto" w:fill="FFD200"/>
            <w:vAlign w:val="center"/>
          </w:tcPr>
          <w:p>
            <w:pPr>
              <w:spacing w:before="20" w:after="20"/>
              <w:jc w:val="center"/>
              <w:rPr>
                <w:rFonts w:ascii="Arial" w:hAnsi="Arial" w:cs="Arial"/>
                <w:b/>
                <w:bCs/>
                <w:sz w:val="16"/>
                <w:szCs w:val="16"/>
              </w:rPr>
            </w:pPr>
            <w:r>
              <w:rPr>
                <w:rFonts w:ascii="Arial" w:hAnsi="Arial" w:cs="Arial"/>
                <w:b/>
                <w:bCs/>
                <w:sz w:val="16"/>
                <w:szCs w:val="16"/>
              </w:rPr>
              <w:t>3</w:t>
            </w:r>
          </w:p>
        </w:tc>
      </w:tr>
      <w:tr>
        <w:tc>
          <w:tcPr>
            <w:tcW w:w="724" w:type="pct"/>
            <w:tcBorders>
              <w:top w:val="single" w:sz="12" w:space="0" w:color="auto"/>
              <w:bottom w:val="single" w:sz="6" w:space="0" w:color="auto"/>
              <w:right w:val="single" w:sz="6" w:space="0" w:color="auto"/>
            </w:tcBorders>
          </w:tcPr>
          <w:p>
            <w:pPr>
              <w:rPr>
                <w:szCs w:val="24"/>
              </w:rPr>
            </w:pPr>
            <w:r>
              <w:rPr>
                <w:szCs w:val="24"/>
              </w:rPr>
              <w:t>1</w:t>
            </w:r>
          </w:p>
        </w:tc>
        <w:tc>
          <w:tcPr>
            <w:tcW w:w="2773" w:type="pct"/>
            <w:tcBorders>
              <w:top w:val="single" w:sz="12" w:space="0" w:color="auto"/>
              <w:left w:val="single" w:sz="6" w:space="0" w:color="auto"/>
              <w:bottom w:val="single" w:sz="6" w:space="0" w:color="auto"/>
              <w:right w:val="single" w:sz="6" w:space="0" w:color="auto"/>
            </w:tcBorders>
          </w:tcPr>
          <w:p>
            <w:pPr>
              <w:snapToGrid w:val="0"/>
              <w:rPr>
                <w:szCs w:val="24"/>
              </w:rPr>
            </w:pPr>
            <w:r>
              <w:rPr>
                <w:szCs w:val="24"/>
              </w:rPr>
              <w:t>Формы журналов</w:t>
            </w:r>
          </w:p>
        </w:tc>
        <w:tc>
          <w:tcPr>
            <w:tcW w:w="1503" w:type="pct"/>
            <w:tcBorders>
              <w:top w:val="single" w:sz="12" w:space="0" w:color="auto"/>
              <w:left w:val="single" w:sz="6" w:space="0" w:color="auto"/>
              <w:bottom w:val="single" w:sz="6" w:space="0" w:color="auto"/>
            </w:tcBorders>
          </w:tcPr>
          <w:p>
            <w:pPr>
              <w:rPr>
                <w:szCs w:val="24"/>
              </w:rPr>
            </w:pPr>
            <w:r>
              <w:rPr>
                <w:szCs w:val="24"/>
              </w:rPr>
              <w:t>Включено в настоящий файл</w:t>
            </w:r>
          </w:p>
        </w:tc>
      </w:tr>
      <w:tr>
        <w:tc>
          <w:tcPr>
            <w:tcW w:w="724" w:type="pct"/>
            <w:tcBorders>
              <w:top w:val="single" w:sz="6" w:space="0" w:color="auto"/>
              <w:bottom w:val="single" w:sz="12" w:space="0" w:color="auto"/>
              <w:right w:val="single" w:sz="6" w:space="0" w:color="auto"/>
            </w:tcBorders>
          </w:tcPr>
          <w:p>
            <w:pPr>
              <w:rPr>
                <w:szCs w:val="24"/>
              </w:rPr>
            </w:pPr>
            <w:r>
              <w:rPr>
                <w:szCs w:val="24"/>
              </w:rPr>
              <w:t>2</w:t>
            </w:r>
          </w:p>
        </w:tc>
        <w:tc>
          <w:tcPr>
            <w:tcW w:w="2773" w:type="pct"/>
            <w:tcBorders>
              <w:top w:val="single" w:sz="6" w:space="0" w:color="auto"/>
              <w:left w:val="single" w:sz="6" w:space="0" w:color="auto"/>
              <w:bottom w:val="single" w:sz="12" w:space="0" w:color="auto"/>
              <w:right w:val="single" w:sz="6" w:space="0" w:color="auto"/>
            </w:tcBorders>
          </w:tcPr>
          <w:p>
            <w:pPr>
              <w:snapToGrid w:val="0"/>
              <w:rPr>
                <w:szCs w:val="24"/>
              </w:rPr>
            </w:pPr>
            <w:r>
              <w:rPr>
                <w:szCs w:val="24"/>
              </w:rPr>
              <w:t>Требования к объектам телекоммуникационной инфраструктуры</w:t>
            </w:r>
          </w:p>
        </w:tc>
        <w:tc>
          <w:tcPr>
            <w:tcW w:w="1503" w:type="pct"/>
            <w:tcBorders>
              <w:top w:val="single" w:sz="6" w:space="0" w:color="auto"/>
              <w:left w:val="single" w:sz="6" w:space="0" w:color="auto"/>
              <w:bottom w:val="single" w:sz="12" w:space="0" w:color="auto"/>
            </w:tcBorders>
          </w:tcPr>
          <w:p>
            <w:pPr>
              <w:rPr>
                <w:szCs w:val="24"/>
              </w:rPr>
            </w:pPr>
            <w:r>
              <w:rPr>
                <w:szCs w:val="24"/>
              </w:rPr>
              <w:t>Включено в настоящий файл</w:t>
            </w:r>
          </w:p>
        </w:tc>
      </w:tr>
    </w:tbl>
    <w:p>
      <w:pPr>
        <w:pStyle w:val="S4"/>
        <w:sectPr>
          <w:headerReference w:type="even" r:id="rId50"/>
          <w:headerReference w:type="default" r:id="rId51"/>
          <w:headerReference w:type="first" r:id="rId52"/>
          <w:pgSz w:w="11906" w:h="16838" w:code="9"/>
          <w:pgMar w:top="510" w:right="1021" w:bottom="567" w:left="1247" w:header="737" w:footer="680" w:gutter="0"/>
          <w:cols w:space="708"/>
          <w:docGrid w:linePitch="360"/>
        </w:sectPr>
      </w:pPr>
      <w:bookmarkStart w:id="182" w:name="_ПРИЛОЖЕНИЕ_1._Перечень"/>
      <w:bookmarkEnd w:id="182"/>
    </w:p>
    <w:p>
      <w:pPr>
        <w:pStyle w:val="20"/>
        <w:keepLines/>
        <w:spacing w:before="0" w:after="0"/>
        <w:jc w:val="both"/>
        <w:rPr>
          <w:rFonts w:eastAsia="Times New Roman"/>
          <w:i w:val="0"/>
          <w:iCs w:val="0"/>
          <w:caps/>
          <w:sz w:val="24"/>
          <w:szCs w:val="26"/>
        </w:rPr>
      </w:pPr>
      <w:bookmarkStart w:id="183" w:name="_Приложение_2._Перечень"/>
      <w:bookmarkStart w:id="184" w:name="_приложение_3._Требования"/>
      <w:bookmarkStart w:id="185" w:name="_ПРИЛОЖЕНИЕ_1._ФОРМЫ"/>
      <w:bookmarkStart w:id="186" w:name="_Toc479164358"/>
      <w:bookmarkStart w:id="187" w:name="_Toc480899118"/>
      <w:bookmarkStart w:id="188" w:name="_Toc457313610"/>
      <w:bookmarkEnd w:id="183"/>
      <w:bookmarkEnd w:id="184"/>
      <w:bookmarkEnd w:id="185"/>
      <w:r>
        <w:rPr>
          <w:rFonts w:eastAsia="Times New Roman"/>
          <w:i w:val="0"/>
          <w:iCs w:val="0"/>
          <w:sz w:val="24"/>
          <w:szCs w:val="26"/>
        </w:rPr>
        <w:lastRenderedPageBreak/>
        <w:t>ПРИЛОЖЕНИЕ 1. ФОРМЫ ЖУРНАЛОВ</w:t>
      </w:r>
      <w:bookmarkEnd w:id="186"/>
      <w:bookmarkEnd w:id="187"/>
    </w:p>
    <w:p>
      <w:pPr>
        <w:pStyle w:val="S4"/>
      </w:pPr>
    </w:p>
    <w:p>
      <w:pPr>
        <w:jc w:val="right"/>
        <w:rPr>
          <w:rFonts w:ascii="Arial" w:hAnsi="Arial" w:cs="Arial"/>
          <w:b/>
          <w:sz w:val="22"/>
        </w:rPr>
      </w:pPr>
      <w:r>
        <w:rPr>
          <w:rFonts w:ascii="Arial" w:hAnsi="Arial" w:cs="Arial"/>
          <w:b/>
          <w:sz w:val="22"/>
        </w:rPr>
        <w:t>Форма 1</w:t>
      </w:r>
    </w:p>
    <w:p>
      <w:pPr>
        <w:jc w:val="center"/>
        <w:rPr>
          <w:rFonts w:ascii="Arial" w:hAnsi="Arial" w:cs="Arial"/>
          <w:b/>
          <w:sz w:val="22"/>
        </w:rPr>
      </w:pPr>
      <w:r>
        <w:rPr>
          <w:rFonts w:ascii="Arial" w:hAnsi="Arial" w:cs="Arial"/>
          <w:b/>
          <w:sz w:val="22"/>
        </w:rPr>
        <w:t>Журнал наличия и движения оборудования</w:t>
      </w:r>
    </w:p>
    <w:p>
      <w:pPr>
        <w:jc w:val="center"/>
        <w:rPr>
          <w:rFonts w:ascii="Arial" w:hAnsi="Arial" w:cs="Arial"/>
          <w:b/>
          <w:sz w:val="22"/>
        </w:rPr>
      </w:pPr>
      <w:r>
        <w:rPr>
          <w:rFonts w:ascii="Arial" w:hAnsi="Arial" w:cs="Arial"/>
          <w:b/>
          <w:sz w:val="22"/>
        </w:rPr>
        <w:t>_____________________</w:t>
      </w:r>
    </w:p>
    <w:p>
      <w:pPr>
        <w:jc w:val="center"/>
        <w:rPr>
          <w:rFonts w:ascii="Arial" w:hAnsi="Arial" w:cs="Arial"/>
          <w:sz w:val="22"/>
        </w:rPr>
      </w:pPr>
      <w:r>
        <w:rPr>
          <w:rFonts w:ascii="Arial" w:hAnsi="Arial" w:cs="Arial"/>
          <w:sz w:val="22"/>
        </w:rPr>
        <w:t>(помещение)</w:t>
      </w:r>
    </w:p>
    <w:p/>
    <w:tbl>
      <w:tblPr>
        <w:tblW w:w="5000" w:type="pct"/>
        <w:jc w:val="center"/>
        <w:shd w:val="clear" w:color="auto" w:fill="FFFFFF"/>
        <w:tblLook w:val="04A0" w:firstRow="1" w:lastRow="0" w:firstColumn="1" w:lastColumn="0" w:noHBand="0" w:noVBand="1"/>
      </w:tblPr>
      <w:tblGrid>
        <w:gridCol w:w="431"/>
        <w:gridCol w:w="1330"/>
        <w:gridCol w:w="1322"/>
        <w:gridCol w:w="1314"/>
        <w:gridCol w:w="1095"/>
        <w:gridCol w:w="950"/>
        <w:gridCol w:w="1216"/>
        <w:gridCol w:w="950"/>
        <w:gridCol w:w="1246"/>
      </w:tblGrid>
      <w:tr>
        <w:trPr>
          <w:trHeight w:val="551"/>
          <w:tblHeader/>
          <w:jc w:val="center"/>
        </w:trPr>
        <w:tc>
          <w:tcPr>
            <w:tcW w:w="212" w:type="pct"/>
            <w:vMerge w:val="restart"/>
            <w:tcBorders>
              <w:top w:val="single" w:sz="8" w:space="0" w:color="auto"/>
              <w:left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w:t>
            </w:r>
          </w:p>
          <w:p>
            <w:pPr>
              <w:jc w:val="center"/>
              <w:rPr>
                <w:rFonts w:ascii="Arial" w:hAnsi="Arial" w:cs="Arial"/>
                <w:b/>
                <w:caps/>
                <w:sz w:val="16"/>
                <w:szCs w:val="16"/>
              </w:rPr>
            </w:pPr>
            <w:r>
              <w:rPr>
                <w:rFonts w:ascii="Arial" w:hAnsi="Arial" w:cs="Arial"/>
                <w:b/>
                <w:sz w:val="16"/>
                <w:szCs w:val="16"/>
              </w:rPr>
              <w:t>п/п</w:t>
            </w:r>
          </w:p>
        </w:tc>
        <w:tc>
          <w:tcPr>
            <w:tcW w:w="676" w:type="pct"/>
            <w:vMerge w:val="restart"/>
            <w:tcBorders>
              <w:top w:val="single" w:sz="8" w:space="0" w:color="auto"/>
              <w:left w:val="single" w:sz="8"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Наименование оборудования</w:t>
            </w:r>
          </w:p>
        </w:tc>
        <w:tc>
          <w:tcPr>
            <w:tcW w:w="672" w:type="pct"/>
            <w:vMerge w:val="restart"/>
            <w:tcBorders>
              <w:top w:val="single" w:sz="8" w:space="0" w:color="auto"/>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Номер оборудования</w:t>
            </w:r>
          </w:p>
        </w:tc>
        <w:tc>
          <w:tcPr>
            <w:tcW w:w="668" w:type="pct"/>
            <w:vMerge w:val="restart"/>
            <w:tcBorders>
              <w:top w:val="single" w:sz="8" w:space="0" w:color="auto"/>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ФИО</w:t>
            </w:r>
            <w:r>
              <w:rPr>
                <w:rFonts w:ascii="Arial" w:hAnsi="Arial" w:cs="Arial"/>
                <w:b/>
                <w:caps/>
                <w:sz w:val="16"/>
                <w:szCs w:val="16"/>
              </w:rPr>
              <w:br/>
              <w:t>за кем закреплено оборудование</w:t>
            </w:r>
          </w:p>
        </w:tc>
        <w:tc>
          <w:tcPr>
            <w:tcW w:w="2140" w:type="pct"/>
            <w:gridSpan w:val="4"/>
            <w:tcBorders>
              <w:top w:val="single" w:sz="8" w:space="0" w:color="auto"/>
              <w:left w:val="nil"/>
              <w:bottom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Движение оборудования</w:t>
            </w:r>
          </w:p>
        </w:tc>
        <w:tc>
          <w:tcPr>
            <w:tcW w:w="633" w:type="pct"/>
            <w:vMerge w:val="restart"/>
            <w:tcBorders>
              <w:top w:val="single" w:sz="8" w:space="0" w:color="auto"/>
              <w:left w:val="nil"/>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Примечание</w:t>
            </w:r>
          </w:p>
        </w:tc>
      </w:tr>
      <w:tr>
        <w:trPr>
          <w:tblHeader/>
          <w:jc w:val="center"/>
        </w:trPr>
        <w:tc>
          <w:tcPr>
            <w:tcW w:w="212" w:type="pct"/>
            <w:vMerge/>
            <w:tcBorders>
              <w:left w:val="single" w:sz="8" w:space="0" w:color="auto"/>
              <w:bottom w:val="single" w:sz="8" w:space="0" w:color="auto"/>
              <w:right w:val="single" w:sz="8" w:space="0" w:color="auto"/>
            </w:tcBorders>
            <w:shd w:val="clear" w:color="auto" w:fill="FFD200"/>
            <w:vAlign w:val="center"/>
          </w:tcPr>
          <w:p>
            <w:pPr>
              <w:jc w:val="center"/>
              <w:rPr>
                <w:rFonts w:ascii="Arial" w:hAnsi="Arial" w:cs="Arial"/>
                <w:b/>
                <w:caps/>
                <w:sz w:val="16"/>
                <w:szCs w:val="16"/>
              </w:rPr>
            </w:pPr>
          </w:p>
        </w:tc>
        <w:tc>
          <w:tcPr>
            <w:tcW w:w="676" w:type="pct"/>
            <w:vMerge/>
            <w:tcBorders>
              <w:top w:val="single" w:sz="8" w:space="0" w:color="auto"/>
              <w:left w:val="single" w:sz="8" w:space="0" w:color="auto"/>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672" w:type="pct"/>
            <w:vMerge/>
            <w:tcBorders>
              <w:top w:val="single" w:sz="8" w:space="0" w:color="auto"/>
              <w:left w:val="nil"/>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668" w:type="pct"/>
            <w:vMerge/>
            <w:tcBorders>
              <w:top w:val="single" w:sz="8" w:space="0" w:color="auto"/>
              <w:left w:val="nil"/>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555" w:type="pct"/>
            <w:tcBorders>
              <w:top w:val="nil"/>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Отправлено куда, дата, основание</w:t>
            </w:r>
          </w:p>
        </w:tc>
        <w:tc>
          <w:tcPr>
            <w:tcW w:w="480" w:type="pct"/>
            <w:tcBorders>
              <w:top w:val="nil"/>
              <w:left w:val="nil"/>
              <w:bottom w:val="single" w:sz="8" w:space="0" w:color="auto"/>
              <w:right w:val="single" w:sz="4" w:space="0" w:color="auto"/>
            </w:tcBorders>
            <w:shd w:val="clear" w:color="auto" w:fill="FFD200"/>
            <w:vAlign w:val="center"/>
          </w:tcPr>
          <w:p>
            <w:pPr>
              <w:autoSpaceDE w:val="0"/>
              <w:autoSpaceDN w:val="0"/>
              <w:jc w:val="center"/>
              <w:rPr>
                <w:rFonts w:ascii="Arial" w:hAnsi="Arial" w:cs="Arial"/>
                <w:b/>
                <w:caps/>
                <w:sz w:val="16"/>
                <w:szCs w:val="16"/>
              </w:rPr>
            </w:pPr>
            <w:r>
              <w:rPr>
                <w:rFonts w:ascii="Arial" w:hAnsi="Arial" w:cs="Arial"/>
                <w:b/>
                <w:caps/>
                <w:sz w:val="16"/>
                <w:szCs w:val="16"/>
              </w:rPr>
              <w:t>ФИО</w:t>
            </w:r>
          </w:p>
          <w:p>
            <w:pPr>
              <w:autoSpaceDE w:val="0"/>
              <w:autoSpaceDN w:val="0"/>
              <w:jc w:val="center"/>
              <w:rPr>
                <w:rFonts w:ascii="Arial" w:hAnsi="Arial" w:cs="Arial"/>
                <w:b/>
                <w:caps/>
                <w:sz w:val="16"/>
                <w:szCs w:val="16"/>
              </w:rPr>
            </w:pPr>
            <w:r>
              <w:rPr>
                <w:rFonts w:ascii="Arial" w:hAnsi="Arial" w:cs="Arial"/>
                <w:b/>
                <w:caps/>
                <w:sz w:val="16"/>
                <w:szCs w:val="16"/>
              </w:rPr>
              <w:t>Подпись</w:t>
            </w:r>
          </w:p>
        </w:tc>
        <w:tc>
          <w:tcPr>
            <w:tcW w:w="625" w:type="pct"/>
            <w:tcBorders>
              <w:top w:val="nil"/>
              <w:left w:val="single" w:sz="4"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Возвращение откуда, дата, основание</w:t>
            </w:r>
          </w:p>
        </w:tc>
        <w:tc>
          <w:tcPr>
            <w:tcW w:w="480" w:type="pct"/>
            <w:tcBorders>
              <w:top w:val="nil"/>
              <w:left w:val="nil"/>
              <w:bottom w:val="single" w:sz="8" w:space="0" w:color="auto"/>
              <w:right w:val="single" w:sz="8" w:space="0" w:color="auto"/>
            </w:tcBorders>
            <w:shd w:val="clear" w:color="auto" w:fill="FFD200"/>
            <w:vAlign w:val="center"/>
          </w:tcPr>
          <w:p>
            <w:pPr>
              <w:autoSpaceDE w:val="0"/>
              <w:autoSpaceDN w:val="0"/>
              <w:jc w:val="center"/>
              <w:rPr>
                <w:rFonts w:ascii="Arial" w:hAnsi="Arial" w:cs="Arial"/>
                <w:b/>
                <w:caps/>
                <w:sz w:val="16"/>
                <w:szCs w:val="16"/>
              </w:rPr>
            </w:pPr>
            <w:r>
              <w:rPr>
                <w:rFonts w:ascii="Arial" w:hAnsi="Arial" w:cs="Arial"/>
                <w:b/>
                <w:caps/>
                <w:sz w:val="16"/>
                <w:szCs w:val="16"/>
              </w:rPr>
              <w:t>ФИО</w:t>
            </w:r>
          </w:p>
          <w:p>
            <w:pPr>
              <w:autoSpaceDE w:val="0"/>
              <w:autoSpaceDN w:val="0"/>
              <w:jc w:val="center"/>
              <w:rPr>
                <w:rFonts w:ascii="Arial" w:hAnsi="Arial" w:cs="Arial"/>
                <w:b/>
                <w:caps/>
                <w:sz w:val="16"/>
                <w:szCs w:val="16"/>
              </w:rPr>
            </w:pPr>
            <w:r>
              <w:rPr>
                <w:rFonts w:ascii="Arial" w:hAnsi="Arial" w:cs="Arial"/>
                <w:b/>
                <w:caps/>
                <w:sz w:val="16"/>
                <w:szCs w:val="16"/>
              </w:rPr>
              <w:t>Подпись</w:t>
            </w:r>
          </w:p>
        </w:tc>
        <w:tc>
          <w:tcPr>
            <w:tcW w:w="633" w:type="pct"/>
            <w:vMerge/>
            <w:tcBorders>
              <w:left w:val="nil"/>
              <w:bottom w:val="single" w:sz="8"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p>
        </w:tc>
      </w:tr>
      <w:tr>
        <w:trPr>
          <w:jc w:val="center"/>
        </w:trPr>
        <w:tc>
          <w:tcPr>
            <w:tcW w:w="212" w:type="pct"/>
            <w:tcBorders>
              <w:top w:val="single" w:sz="8" w:space="0" w:color="auto"/>
              <w:left w:val="single" w:sz="8" w:space="0" w:color="auto"/>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color w:val="000000"/>
                <w:sz w:val="16"/>
                <w:szCs w:val="16"/>
                <w:lang w:eastAsia="ru-RU"/>
              </w:rPr>
            </w:pPr>
            <w:r>
              <w:rPr>
                <w:rFonts w:ascii="Arial" w:eastAsia="Times New Roman" w:hAnsi="Arial" w:cs="Arial"/>
                <w:b/>
                <w:color w:val="000000"/>
                <w:sz w:val="16"/>
                <w:szCs w:val="16"/>
                <w:lang w:eastAsia="ru-RU"/>
              </w:rPr>
              <w:t>1</w:t>
            </w:r>
          </w:p>
        </w:tc>
        <w:tc>
          <w:tcPr>
            <w:tcW w:w="676" w:type="pct"/>
            <w:tcBorders>
              <w:top w:val="single" w:sz="8" w:space="0" w:color="auto"/>
              <w:left w:val="single" w:sz="8"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color w:val="000000"/>
                <w:sz w:val="16"/>
                <w:szCs w:val="16"/>
                <w:lang w:eastAsia="ru-RU"/>
              </w:rPr>
              <w:t>2</w:t>
            </w:r>
          </w:p>
        </w:tc>
        <w:tc>
          <w:tcPr>
            <w:tcW w:w="672" w:type="pct"/>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3</w:t>
            </w:r>
          </w:p>
        </w:tc>
        <w:tc>
          <w:tcPr>
            <w:tcW w:w="668" w:type="pct"/>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4</w:t>
            </w:r>
          </w:p>
        </w:tc>
        <w:tc>
          <w:tcPr>
            <w:tcW w:w="555" w:type="pct"/>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5</w:t>
            </w:r>
          </w:p>
        </w:tc>
        <w:tc>
          <w:tcPr>
            <w:tcW w:w="480" w:type="pct"/>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6</w:t>
            </w:r>
          </w:p>
        </w:tc>
        <w:tc>
          <w:tcPr>
            <w:tcW w:w="625" w:type="pct"/>
            <w:tcBorders>
              <w:top w:val="single" w:sz="8" w:space="0" w:color="auto"/>
              <w:left w:val="single" w:sz="4"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7</w:t>
            </w:r>
          </w:p>
        </w:tc>
        <w:tc>
          <w:tcPr>
            <w:tcW w:w="480" w:type="pct"/>
            <w:tcBorders>
              <w:top w:val="single" w:sz="8" w:space="0" w:color="auto"/>
              <w:left w:val="nil"/>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8</w:t>
            </w:r>
          </w:p>
        </w:tc>
        <w:tc>
          <w:tcPr>
            <w:tcW w:w="633" w:type="pct"/>
            <w:tcBorders>
              <w:top w:val="single" w:sz="8" w:space="0" w:color="auto"/>
              <w:left w:val="nil"/>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9</w:t>
            </w:r>
          </w:p>
        </w:tc>
      </w:tr>
      <w:tr>
        <w:trPr>
          <w:jc w:val="center"/>
        </w:trPr>
        <w:tc>
          <w:tcPr>
            <w:tcW w:w="212" w:type="pct"/>
            <w:tcBorders>
              <w:top w:val="single" w:sz="4" w:space="0" w:color="auto"/>
              <w:left w:val="single" w:sz="8" w:space="0" w:color="auto"/>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676"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672"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668"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555"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480" w:type="pct"/>
            <w:tcBorders>
              <w:top w:val="single" w:sz="4" w:space="0" w:color="auto"/>
              <w:left w:val="nil"/>
              <w:bottom w:val="single" w:sz="8" w:space="0" w:color="auto"/>
              <w:right w:val="single" w:sz="4"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625" w:type="pct"/>
            <w:tcBorders>
              <w:top w:val="single" w:sz="4" w:space="0" w:color="auto"/>
              <w:left w:val="single" w:sz="4"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480" w:type="pct"/>
            <w:tcBorders>
              <w:top w:val="single" w:sz="4" w:space="0" w:color="auto"/>
              <w:left w:val="nil"/>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633" w:type="pct"/>
            <w:tcBorders>
              <w:top w:val="single" w:sz="4" w:space="0" w:color="auto"/>
              <w:left w:val="nil"/>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r>
    </w:tbl>
    <w:p>
      <w:pPr>
        <w:pStyle w:val="S4"/>
      </w:pPr>
    </w:p>
    <w:p>
      <w:pPr>
        <w:pStyle w:val="S4"/>
        <w:jc w:val="right"/>
        <w:rPr>
          <w:rFonts w:ascii="Arial" w:hAnsi="Arial" w:cs="Arial"/>
          <w:b/>
          <w:sz w:val="22"/>
          <w:szCs w:val="22"/>
        </w:rPr>
      </w:pPr>
      <w:r>
        <w:rPr>
          <w:rFonts w:ascii="Arial" w:hAnsi="Arial" w:cs="Arial"/>
          <w:b/>
          <w:sz w:val="22"/>
          <w:szCs w:val="22"/>
        </w:rPr>
        <w:t>Форма 2</w:t>
      </w:r>
    </w:p>
    <w:p>
      <w:pPr>
        <w:jc w:val="center"/>
        <w:rPr>
          <w:rFonts w:ascii="Arial" w:hAnsi="Arial" w:cs="Arial"/>
          <w:b/>
          <w:sz w:val="22"/>
        </w:rPr>
      </w:pPr>
      <w:r>
        <w:rPr>
          <w:rFonts w:ascii="Arial" w:hAnsi="Arial" w:cs="Arial"/>
          <w:b/>
          <w:sz w:val="22"/>
        </w:rPr>
        <w:t>Журнал проверки напряжения и мощности ИБП</w:t>
      </w:r>
    </w:p>
    <w:p>
      <w:pPr>
        <w:jc w:val="center"/>
        <w:rPr>
          <w:rFonts w:ascii="Arial" w:hAnsi="Arial" w:cs="Arial"/>
          <w:b/>
          <w:sz w:val="22"/>
        </w:rPr>
      </w:pPr>
      <w:r>
        <w:rPr>
          <w:rFonts w:ascii="Arial" w:hAnsi="Arial" w:cs="Arial"/>
          <w:b/>
          <w:sz w:val="22"/>
        </w:rPr>
        <w:t>_____________________</w:t>
      </w:r>
    </w:p>
    <w:p>
      <w:pPr>
        <w:jc w:val="center"/>
        <w:rPr>
          <w:rFonts w:ascii="Arial" w:hAnsi="Arial" w:cs="Arial"/>
          <w:sz w:val="22"/>
        </w:rPr>
      </w:pPr>
      <w:r>
        <w:rPr>
          <w:rFonts w:ascii="Arial" w:hAnsi="Arial" w:cs="Arial"/>
          <w:sz w:val="22"/>
        </w:rPr>
        <w:t>(помещение)</w:t>
      </w:r>
    </w:p>
    <w:p>
      <w:pPr>
        <w:jc w:val="center"/>
        <w:rPr>
          <w:rFonts w:ascii="Arial" w:hAnsi="Arial" w:cs="Arial"/>
          <w:sz w:val="22"/>
        </w:rPr>
      </w:pPr>
    </w:p>
    <w:tbl>
      <w:tblPr>
        <w:tblW w:w="0" w:type="auto"/>
        <w:jc w:val="center"/>
        <w:shd w:val="clear" w:color="auto" w:fill="FFFFFF"/>
        <w:tblLook w:val="04A0" w:firstRow="1" w:lastRow="0" w:firstColumn="1" w:lastColumn="0" w:noHBand="0" w:noVBand="1"/>
      </w:tblPr>
      <w:tblGrid>
        <w:gridCol w:w="454"/>
        <w:gridCol w:w="2147"/>
        <w:gridCol w:w="1749"/>
        <w:gridCol w:w="499"/>
        <w:gridCol w:w="2184"/>
        <w:gridCol w:w="433"/>
        <w:gridCol w:w="1030"/>
        <w:gridCol w:w="1358"/>
      </w:tblGrid>
      <w:tr>
        <w:trPr>
          <w:trHeight w:val="551"/>
          <w:tblHeader/>
          <w:jc w:val="center"/>
        </w:trPr>
        <w:tc>
          <w:tcPr>
            <w:tcW w:w="0" w:type="auto"/>
            <w:vMerge w:val="restart"/>
            <w:tcBorders>
              <w:top w:val="single" w:sz="8" w:space="0" w:color="auto"/>
              <w:left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w:t>
            </w:r>
          </w:p>
          <w:p>
            <w:pPr>
              <w:jc w:val="center"/>
              <w:rPr>
                <w:rFonts w:ascii="Arial" w:hAnsi="Arial" w:cs="Arial"/>
                <w:b/>
                <w:caps/>
                <w:sz w:val="16"/>
                <w:szCs w:val="16"/>
              </w:rPr>
            </w:pPr>
            <w:r>
              <w:rPr>
                <w:rFonts w:ascii="Arial" w:hAnsi="Arial" w:cs="Arial"/>
                <w:b/>
                <w:sz w:val="16"/>
                <w:szCs w:val="16"/>
              </w:rPr>
              <w:t>п/п</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Наименование оборудования</w:t>
            </w:r>
          </w:p>
        </w:tc>
        <w:tc>
          <w:tcPr>
            <w:tcW w:w="0" w:type="auto"/>
            <w:vMerge w:val="restart"/>
            <w:tcBorders>
              <w:top w:val="single" w:sz="8" w:space="0" w:color="auto"/>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Номер оборудования</w:t>
            </w:r>
          </w:p>
        </w:tc>
        <w:tc>
          <w:tcPr>
            <w:tcW w:w="0" w:type="auto"/>
            <w:gridSpan w:val="4"/>
            <w:tcBorders>
              <w:top w:val="single" w:sz="8" w:space="0" w:color="auto"/>
              <w:left w:val="nil"/>
              <w:bottom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Сведения о проведении проверки</w:t>
            </w:r>
          </w:p>
        </w:tc>
        <w:tc>
          <w:tcPr>
            <w:tcW w:w="0" w:type="auto"/>
            <w:vMerge w:val="restart"/>
            <w:tcBorders>
              <w:top w:val="single" w:sz="8" w:space="0" w:color="auto"/>
              <w:left w:val="nil"/>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Примечание</w:t>
            </w:r>
          </w:p>
        </w:tc>
      </w:tr>
      <w:tr>
        <w:trPr>
          <w:trHeight w:val="344"/>
          <w:tblHeader/>
          <w:jc w:val="center"/>
        </w:trPr>
        <w:tc>
          <w:tcPr>
            <w:tcW w:w="0" w:type="auto"/>
            <w:vMerge/>
            <w:tcBorders>
              <w:left w:val="single" w:sz="8" w:space="0" w:color="auto"/>
              <w:bottom w:val="single" w:sz="8" w:space="0" w:color="auto"/>
              <w:right w:val="single" w:sz="8" w:space="0" w:color="auto"/>
            </w:tcBorders>
            <w:shd w:val="clear" w:color="auto" w:fill="FFD200"/>
            <w:vAlign w:val="center"/>
          </w:tcPr>
          <w:p>
            <w:pPr>
              <w:jc w:val="center"/>
              <w:rPr>
                <w:rFonts w:ascii="Arial" w:hAnsi="Arial" w:cs="Arial"/>
                <w:b/>
                <w:caps/>
                <w:sz w:val="16"/>
                <w:szCs w:val="16"/>
              </w:rPr>
            </w:pPr>
          </w:p>
        </w:tc>
        <w:tc>
          <w:tcPr>
            <w:tcW w:w="0" w:type="auto"/>
            <w:vMerge/>
            <w:tcBorders>
              <w:top w:val="single" w:sz="8" w:space="0" w:color="auto"/>
              <w:left w:val="single" w:sz="8" w:space="0" w:color="auto"/>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0" w:type="auto"/>
            <w:vMerge/>
            <w:tcBorders>
              <w:top w:val="single" w:sz="8" w:space="0" w:color="auto"/>
              <w:left w:val="nil"/>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0" w:type="auto"/>
            <w:tcBorders>
              <w:top w:val="nil"/>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дата</w:t>
            </w:r>
          </w:p>
        </w:tc>
        <w:tc>
          <w:tcPr>
            <w:tcW w:w="0" w:type="auto"/>
            <w:tcBorders>
              <w:top w:val="nil"/>
              <w:left w:val="nil"/>
              <w:bottom w:val="single" w:sz="8" w:space="0" w:color="auto"/>
              <w:right w:val="single" w:sz="4" w:space="0" w:color="auto"/>
            </w:tcBorders>
            <w:shd w:val="clear" w:color="auto" w:fill="FFD200"/>
            <w:vAlign w:val="center"/>
          </w:tcPr>
          <w:p>
            <w:pPr>
              <w:autoSpaceDE w:val="0"/>
              <w:autoSpaceDN w:val="0"/>
              <w:jc w:val="center"/>
              <w:rPr>
                <w:rFonts w:ascii="Arial" w:hAnsi="Arial" w:cs="Arial"/>
                <w:b/>
                <w:caps/>
                <w:sz w:val="16"/>
                <w:szCs w:val="16"/>
              </w:rPr>
            </w:pPr>
            <w:r>
              <w:rPr>
                <w:rFonts w:ascii="Arial" w:hAnsi="Arial" w:cs="Arial"/>
                <w:b/>
                <w:caps/>
                <w:sz w:val="16"/>
                <w:szCs w:val="16"/>
              </w:rPr>
              <w:t>Результаты проверки,</w:t>
            </w:r>
          </w:p>
          <w:p>
            <w:pPr>
              <w:autoSpaceDE w:val="0"/>
              <w:autoSpaceDN w:val="0"/>
              <w:jc w:val="center"/>
              <w:rPr>
                <w:rFonts w:ascii="Arial" w:hAnsi="Arial" w:cs="Arial"/>
                <w:b/>
                <w:caps/>
                <w:sz w:val="16"/>
                <w:szCs w:val="16"/>
              </w:rPr>
            </w:pPr>
            <w:r>
              <w:rPr>
                <w:rFonts w:ascii="Arial" w:hAnsi="Arial" w:cs="Arial"/>
                <w:b/>
                <w:caps/>
                <w:sz w:val="16"/>
                <w:szCs w:val="16"/>
              </w:rPr>
              <w:t>Соответствие требованиям</w:t>
            </w:r>
          </w:p>
        </w:tc>
        <w:tc>
          <w:tcPr>
            <w:tcW w:w="0" w:type="auto"/>
            <w:tcBorders>
              <w:top w:val="nil"/>
              <w:left w:val="single" w:sz="4"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ФИО</w:t>
            </w:r>
          </w:p>
        </w:tc>
        <w:tc>
          <w:tcPr>
            <w:tcW w:w="0" w:type="auto"/>
            <w:tcBorders>
              <w:top w:val="nil"/>
              <w:left w:val="nil"/>
              <w:bottom w:val="single" w:sz="8" w:space="0" w:color="auto"/>
              <w:right w:val="single" w:sz="8" w:space="0" w:color="auto"/>
            </w:tcBorders>
            <w:shd w:val="clear" w:color="auto" w:fill="FFD200"/>
            <w:vAlign w:val="center"/>
          </w:tcPr>
          <w:p>
            <w:pPr>
              <w:autoSpaceDE w:val="0"/>
              <w:autoSpaceDN w:val="0"/>
              <w:jc w:val="center"/>
              <w:rPr>
                <w:rFonts w:ascii="Arial" w:hAnsi="Arial" w:cs="Arial"/>
                <w:b/>
                <w:caps/>
                <w:sz w:val="16"/>
                <w:szCs w:val="16"/>
              </w:rPr>
            </w:pPr>
            <w:r>
              <w:rPr>
                <w:rFonts w:ascii="Arial" w:hAnsi="Arial" w:cs="Arial"/>
                <w:b/>
                <w:caps/>
                <w:sz w:val="16"/>
                <w:szCs w:val="16"/>
              </w:rPr>
              <w:t>Подпись</w:t>
            </w:r>
          </w:p>
        </w:tc>
        <w:tc>
          <w:tcPr>
            <w:tcW w:w="0" w:type="auto"/>
            <w:vMerge/>
            <w:tcBorders>
              <w:left w:val="nil"/>
              <w:bottom w:val="single" w:sz="8"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p>
        </w:tc>
      </w:tr>
      <w:tr>
        <w:trPr>
          <w:jc w:val="center"/>
        </w:trPr>
        <w:tc>
          <w:tcPr>
            <w:tcW w:w="0" w:type="auto"/>
            <w:tcBorders>
              <w:top w:val="single" w:sz="8" w:space="0" w:color="auto"/>
              <w:left w:val="single" w:sz="8" w:space="0" w:color="auto"/>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color w:val="000000"/>
                <w:sz w:val="16"/>
                <w:szCs w:val="16"/>
                <w:lang w:eastAsia="ru-RU"/>
              </w:rPr>
            </w:pPr>
            <w:r>
              <w:rPr>
                <w:rFonts w:ascii="Arial" w:eastAsia="Times New Roman" w:hAnsi="Arial" w:cs="Arial"/>
                <w:b/>
                <w:color w:val="000000"/>
                <w:sz w:val="16"/>
                <w:szCs w:val="16"/>
                <w:lang w:eastAsia="ru-RU"/>
              </w:rPr>
              <w:t>1</w:t>
            </w:r>
          </w:p>
        </w:tc>
        <w:tc>
          <w:tcPr>
            <w:tcW w:w="0" w:type="auto"/>
            <w:tcBorders>
              <w:top w:val="single" w:sz="8" w:space="0" w:color="auto"/>
              <w:left w:val="single" w:sz="8"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color w:val="000000"/>
                <w:sz w:val="16"/>
                <w:szCs w:val="16"/>
                <w:lang w:eastAsia="ru-RU"/>
              </w:rPr>
              <w:t>2</w:t>
            </w:r>
          </w:p>
        </w:tc>
        <w:tc>
          <w:tcPr>
            <w:tcW w:w="0" w:type="auto"/>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3</w:t>
            </w:r>
          </w:p>
        </w:tc>
        <w:tc>
          <w:tcPr>
            <w:tcW w:w="0" w:type="auto"/>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4</w:t>
            </w:r>
          </w:p>
        </w:tc>
        <w:tc>
          <w:tcPr>
            <w:tcW w:w="0" w:type="auto"/>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5</w:t>
            </w:r>
          </w:p>
        </w:tc>
        <w:tc>
          <w:tcPr>
            <w:tcW w:w="0" w:type="auto"/>
            <w:tcBorders>
              <w:top w:val="single" w:sz="8" w:space="0" w:color="auto"/>
              <w:left w:val="single" w:sz="4"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6</w:t>
            </w:r>
          </w:p>
        </w:tc>
        <w:tc>
          <w:tcPr>
            <w:tcW w:w="0" w:type="auto"/>
            <w:tcBorders>
              <w:top w:val="single" w:sz="8" w:space="0" w:color="auto"/>
              <w:left w:val="nil"/>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7</w:t>
            </w:r>
          </w:p>
        </w:tc>
        <w:tc>
          <w:tcPr>
            <w:tcW w:w="0" w:type="auto"/>
            <w:tcBorders>
              <w:top w:val="single" w:sz="8" w:space="0" w:color="auto"/>
              <w:left w:val="nil"/>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8</w:t>
            </w:r>
          </w:p>
        </w:tc>
      </w:tr>
      <w:tr>
        <w:trPr>
          <w:jc w:val="center"/>
        </w:trPr>
        <w:tc>
          <w:tcPr>
            <w:tcW w:w="0" w:type="auto"/>
            <w:tcBorders>
              <w:top w:val="single" w:sz="4" w:space="0" w:color="auto"/>
              <w:left w:val="single" w:sz="8" w:space="0" w:color="auto"/>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0" w:type="auto"/>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0" w:type="auto"/>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0" w:type="auto"/>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0" w:type="auto"/>
            <w:tcBorders>
              <w:top w:val="single" w:sz="4" w:space="0" w:color="auto"/>
              <w:left w:val="nil"/>
              <w:bottom w:val="single" w:sz="8" w:space="0" w:color="auto"/>
              <w:right w:val="single" w:sz="4"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0" w:type="auto"/>
            <w:tcBorders>
              <w:top w:val="single" w:sz="4" w:space="0" w:color="auto"/>
              <w:left w:val="single" w:sz="4"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0" w:type="auto"/>
            <w:tcBorders>
              <w:top w:val="single" w:sz="4" w:space="0" w:color="auto"/>
              <w:left w:val="nil"/>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0" w:type="auto"/>
            <w:tcBorders>
              <w:top w:val="single" w:sz="4" w:space="0" w:color="auto"/>
              <w:left w:val="nil"/>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r>
    </w:tbl>
    <w:p>
      <w:pPr>
        <w:pStyle w:val="S4"/>
      </w:pPr>
    </w:p>
    <w:p>
      <w:pPr>
        <w:pStyle w:val="S4"/>
        <w:jc w:val="right"/>
        <w:rPr>
          <w:rFonts w:ascii="Arial" w:hAnsi="Arial" w:cs="Arial"/>
          <w:b/>
          <w:sz w:val="22"/>
          <w:szCs w:val="22"/>
        </w:rPr>
      </w:pPr>
      <w:r>
        <w:rPr>
          <w:rFonts w:ascii="Arial" w:hAnsi="Arial" w:cs="Arial"/>
          <w:b/>
          <w:sz w:val="22"/>
          <w:szCs w:val="22"/>
        </w:rPr>
        <w:t>Форма 3</w:t>
      </w:r>
    </w:p>
    <w:p>
      <w:pPr>
        <w:jc w:val="center"/>
        <w:rPr>
          <w:rFonts w:ascii="Arial" w:hAnsi="Arial" w:cs="Arial"/>
          <w:b/>
          <w:sz w:val="22"/>
        </w:rPr>
      </w:pPr>
      <w:r>
        <w:rPr>
          <w:rFonts w:ascii="Arial" w:hAnsi="Arial" w:cs="Arial"/>
          <w:b/>
          <w:sz w:val="22"/>
        </w:rPr>
        <w:t>Журнал учета неисправностей оборудования</w:t>
      </w:r>
    </w:p>
    <w:p>
      <w:pPr>
        <w:jc w:val="center"/>
        <w:rPr>
          <w:rFonts w:ascii="Arial" w:hAnsi="Arial" w:cs="Arial"/>
          <w:b/>
          <w:sz w:val="22"/>
        </w:rPr>
      </w:pPr>
      <w:r>
        <w:rPr>
          <w:rFonts w:ascii="Arial" w:hAnsi="Arial" w:cs="Arial"/>
          <w:b/>
          <w:sz w:val="22"/>
        </w:rPr>
        <w:t>_____________________</w:t>
      </w:r>
    </w:p>
    <w:p>
      <w:pPr>
        <w:jc w:val="center"/>
        <w:rPr>
          <w:rFonts w:ascii="Arial" w:hAnsi="Arial" w:cs="Arial"/>
          <w:sz w:val="22"/>
        </w:rPr>
      </w:pPr>
      <w:r>
        <w:rPr>
          <w:rFonts w:ascii="Arial" w:hAnsi="Arial" w:cs="Arial"/>
          <w:sz w:val="22"/>
        </w:rPr>
        <w:t>(помещение)</w:t>
      </w:r>
    </w:p>
    <w:p/>
    <w:tbl>
      <w:tblPr>
        <w:tblW w:w="5000" w:type="pct"/>
        <w:jc w:val="center"/>
        <w:shd w:val="clear" w:color="auto" w:fill="FFFFFF"/>
        <w:tblLayout w:type="fixed"/>
        <w:tblLook w:val="04A0" w:firstRow="1" w:lastRow="0" w:firstColumn="1" w:lastColumn="0" w:noHBand="0" w:noVBand="1"/>
      </w:tblPr>
      <w:tblGrid>
        <w:gridCol w:w="535"/>
        <w:gridCol w:w="1295"/>
        <w:gridCol w:w="1263"/>
        <w:gridCol w:w="1476"/>
        <w:gridCol w:w="1527"/>
        <w:gridCol w:w="532"/>
        <w:gridCol w:w="1279"/>
        <w:gridCol w:w="847"/>
        <w:gridCol w:w="1100"/>
      </w:tblGrid>
      <w:tr>
        <w:trPr>
          <w:trHeight w:val="551"/>
          <w:tblHeader/>
          <w:jc w:val="center"/>
        </w:trPr>
        <w:tc>
          <w:tcPr>
            <w:tcW w:w="271" w:type="pct"/>
            <w:vMerge w:val="restart"/>
            <w:tcBorders>
              <w:top w:val="single" w:sz="8" w:space="0" w:color="auto"/>
              <w:left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w:t>
            </w:r>
          </w:p>
          <w:p>
            <w:pPr>
              <w:jc w:val="center"/>
              <w:rPr>
                <w:rFonts w:ascii="Arial" w:hAnsi="Arial" w:cs="Arial"/>
                <w:b/>
                <w:caps/>
                <w:sz w:val="16"/>
                <w:szCs w:val="16"/>
              </w:rPr>
            </w:pPr>
            <w:r>
              <w:rPr>
                <w:rFonts w:ascii="Arial" w:hAnsi="Arial" w:cs="Arial"/>
                <w:b/>
                <w:sz w:val="16"/>
                <w:szCs w:val="16"/>
              </w:rPr>
              <w:t>п/п</w:t>
            </w:r>
          </w:p>
        </w:tc>
        <w:tc>
          <w:tcPr>
            <w:tcW w:w="657" w:type="pct"/>
            <w:vMerge w:val="restart"/>
            <w:tcBorders>
              <w:top w:val="single" w:sz="8" w:space="0" w:color="auto"/>
              <w:left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Наименование оборудования</w:t>
            </w:r>
          </w:p>
        </w:tc>
        <w:tc>
          <w:tcPr>
            <w:tcW w:w="641" w:type="pct"/>
            <w:vMerge w:val="restart"/>
            <w:tcBorders>
              <w:top w:val="single" w:sz="8" w:space="0" w:color="auto"/>
              <w:left w:val="single" w:sz="8"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jc w:val="center"/>
              <w:rPr>
                <w:rFonts w:ascii="Arial" w:hAnsi="Arial" w:cs="Arial"/>
                <w:b/>
                <w:caps/>
                <w:sz w:val="16"/>
                <w:szCs w:val="16"/>
              </w:rPr>
            </w:pPr>
            <w:r>
              <w:rPr>
                <w:rFonts w:ascii="Arial" w:hAnsi="Arial" w:cs="Arial"/>
                <w:b/>
                <w:caps/>
                <w:sz w:val="16"/>
                <w:szCs w:val="16"/>
              </w:rPr>
              <w:t>Номер оборудования</w:t>
            </w:r>
          </w:p>
        </w:tc>
        <w:tc>
          <w:tcPr>
            <w:tcW w:w="749" w:type="pct"/>
            <w:vMerge w:val="restart"/>
            <w:tcBorders>
              <w:top w:val="single" w:sz="8" w:space="0" w:color="auto"/>
              <w:left w:val="nil"/>
              <w:right w:val="single" w:sz="4"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Дата и время выявления неисправности</w:t>
            </w:r>
          </w:p>
        </w:tc>
        <w:tc>
          <w:tcPr>
            <w:tcW w:w="775" w:type="pct"/>
            <w:vMerge w:val="restart"/>
            <w:tcBorders>
              <w:top w:val="single" w:sz="8" w:space="0" w:color="auto"/>
              <w:left w:val="single" w:sz="4" w:space="0" w:color="auto"/>
              <w:right w:val="single" w:sz="4"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ФИО</w:t>
            </w:r>
          </w:p>
          <w:p>
            <w:pPr>
              <w:jc w:val="center"/>
              <w:rPr>
                <w:rFonts w:ascii="Arial" w:hAnsi="Arial" w:cs="Arial"/>
                <w:b/>
                <w:caps/>
                <w:sz w:val="16"/>
                <w:szCs w:val="16"/>
              </w:rPr>
            </w:pPr>
            <w:r>
              <w:rPr>
                <w:rFonts w:ascii="Arial" w:hAnsi="Arial" w:cs="Arial"/>
                <w:b/>
                <w:caps/>
                <w:sz w:val="16"/>
                <w:szCs w:val="16"/>
              </w:rPr>
              <w:t>работника обнаружившего неисправность</w:t>
            </w:r>
          </w:p>
        </w:tc>
        <w:tc>
          <w:tcPr>
            <w:tcW w:w="1349" w:type="pct"/>
            <w:gridSpan w:val="3"/>
            <w:tcBorders>
              <w:top w:val="single" w:sz="8" w:space="0" w:color="auto"/>
              <w:left w:val="nil"/>
              <w:bottom w:val="single" w:sz="8" w:space="0" w:color="auto"/>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Сведения об устранении неисправности</w:t>
            </w:r>
          </w:p>
        </w:tc>
        <w:tc>
          <w:tcPr>
            <w:tcW w:w="558" w:type="pct"/>
            <w:vMerge w:val="restart"/>
            <w:tcBorders>
              <w:top w:val="single" w:sz="8" w:space="0" w:color="auto"/>
              <w:left w:val="nil"/>
              <w:right w:val="single" w:sz="8" w:space="0" w:color="auto"/>
            </w:tcBorders>
            <w:shd w:val="clear" w:color="auto" w:fill="FFD200"/>
            <w:vAlign w:val="center"/>
          </w:tcPr>
          <w:p>
            <w:pPr>
              <w:jc w:val="center"/>
              <w:rPr>
                <w:rFonts w:ascii="Arial" w:hAnsi="Arial" w:cs="Arial"/>
                <w:b/>
                <w:caps/>
                <w:sz w:val="16"/>
                <w:szCs w:val="16"/>
              </w:rPr>
            </w:pPr>
            <w:r>
              <w:rPr>
                <w:rFonts w:ascii="Arial" w:hAnsi="Arial" w:cs="Arial"/>
                <w:b/>
                <w:caps/>
                <w:sz w:val="16"/>
                <w:szCs w:val="16"/>
              </w:rPr>
              <w:t>Примечание</w:t>
            </w:r>
          </w:p>
        </w:tc>
      </w:tr>
      <w:tr>
        <w:trPr>
          <w:trHeight w:val="344"/>
          <w:tblHeader/>
          <w:jc w:val="center"/>
        </w:trPr>
        <w:tc>
          <w:tcPr>
            <w:tcW w:w="271" w:type="pct"/>
            <w:vMerge/>
            <w:tcBorders>
              <w:left w:val="single" w:sz="8" w:space="0" w:color="auto"/>
              <w:bottom w:val="single" w:sz="8" w:space="0" w:color="auto"/>
              <w:right w:val="single" w:sz="8" w:space="0" w:color="auto"/>
            </w:tcBorders>
            <w:shd w:val="clear" w:color="auto" w:fill="FFD200"/>
            <w:vAlign w:val="center"/>
          </w:tcPr>
          <w:p>
            <w:pPr>
              <w:jc w:val="center"/>
              <w:rPr>
                <w:rFonts w:ascii="Arial" w:hAnsi="Arial" w:cs="Arial"/>
                <w:b/>
                <w:caps/>
                <w:sz w:val="16"/>
                <w:szCs w:val="16"/>
              </w:rPr>
            </w:pPr>
          </w:p>
        </w:tc>
        <w:tc>
          <w:tcPr>
            <w:tcW w:w="657" w:type="pct"/>
            <w:vMerge/>
            <w:tcBorders>
              <w:left w:val="single" w:sz="8" w:space="0" w:color="auto"/>
              <w:bottom w:val="single" w:sz="8" w:space="0" w:color="auto"/>
              <w:right w:val="single" w:sz="8" w:space="0" w:color="auto"/>
            </w:tcBorders>
            <w:shd w:val="clear" w:color="auto" w:fill="FFD200"/>
          </w:tcPr>
          <w:p>
            <w:pPr>
              <w:jc w:val="center"/>
              <w:rPr>
                <w:rFonts w:ascii="Arial" w:hAnsi="Arial" w:cs="Arial"/>
                <w:b/>
                <w:caps/>
                <w:sz w:val="16"/>
                <w:szCs w:val="16"/>
              </w:rPr>
            </w:pPr>
          </w:p>
        </w:tc>
        <w:tc>
          <w:tcPr>
            <w:tcW w:w="641" w:type="pct"/>
            <w:vMerge/>
            <w:tcBorders>
              <w:top w:val="single" w:sz="8" w:space="0" w:color="auto"/>
              <w:left w:val="single" w:sz="8" w:space="0" w:color="auto"/>
              <w:bottom w:val="single" w:sz="8" w:space="0" w:color="auto"/>
              <w:right w:val="single" w:sz="8" w:space="0" w:color="auto"/>
            </w:tcBorders>
            <w:shd w:val="clear" w:color="auto" w:fill="FFD200"/>
            <w:vAlign w:val="center"/>
            <w:hideMark/>
          </w:tcPr>
          <w:p>
            <w:pPr>
              <w:jc w:val="center"/>
              <w:rPr>
                <w:rFonts w:ascii="Arial" w:hAnsi="Arial" w:cs="Arial"/>
                <w:b/>
                <w:caps/>
                <w:sz w:val="16"/>
                <w:szCs w:val="16"/>
              </w:rPr>
            </w:pPr>
          </w:p>
        </w:tc>
        <w:tc>
          <w:tcPr>
            <w:tcW w:w="749" w:type="pct"/>
            <w:vMerge/>
            <w:tcBorders>
              <w:left w:val="nil"/>
              <w:bottom w:val="single" w:sz="8" w:space="0" w:color="auto"/>
              <w:right w:val="single" w:sz="4" w:space="0" w:color="auto"/>
            </w:tcBorders>
            <w:shd w:val="clear" w:color="auto" w:fill="FFD200"/>
            <w:vAlign w:val="center"/>
          </w:tcPr>
          <w:p>
            <w:pPr>
              <w:jc w:val="center"/>
              <w:rPr>
                <w:rFonts w:ascii="Arial" w:hAnsi="Arial" w:cs="Arial"/>
                <w:b/>
                <w:caps/>
                <w:sz w:val="16"/>
                <w:szCs w:val="16"/>
              </w:rPr>
            </w:pPr>
          </w:p>
        </w:tc>
        <w:tc>
          <w:tcPr>
            <w:tcW w:w="775" w:type="pct"/>
            <w:vMerge/>
            <w:tcBorders>
              <w:left w:val="single" w:sz="4" w:space="0" w:color="auto"/>
              <w:bottom w:val="single" w:sz="8" w:space="0" w:color="auto"/>
              <w:right w:val="single" w:sz="4" w:space="0" w:color="auto"/>
            </w:tcBorders>
            <w:shd w:val="clear" w:color="auto" w:fill="FFD200"/>
            <w:vAlign w:val="center"/>
          </w:tcPr>
          <w:p>
            <w:pPr>
              <w:jc w:val="center"/>
              <w:rPr>
                <w:rFonts w:ascii="Arial" w:hAnsi="Arial" w:cs="Arial"/>
                <w:b/>
                <w:caps/>
                <w:sz w:val="16"/>
                <w:szCs w:val="16"/>
              </w:rPr>
            </w:pPr>
          </w:p>
        </w:tc>
        <w:tc>
          <w:tcPr>
            <w:tcW w:w="270" w:type="pct"/>
            <w:tcBorders>
              <w:top w:val="nil"/>
              <w:left w:val="nil"/>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дата</w:t>
            </w:r>
          </w:p>
        </w:tc>
        <w:tc>
          <w:tcPr>
            <w:tcW w:w="649" w:type="pct"/>
            <w:tcBorders>
              <w:top w:val="nil"/>
              <w:left w:val="nil"/>
              <w:bottom w:val="single" w:sz="8" w:space="0" w:color="auto"/>
              <w:right w:val="single" w:sz="4" w:space="0" w:color="auto"/>
            </w:tcBorders>
            <w:shd w:val="clear" w:color="auto" w:fill="FFD200"/>
            <w:vAlign w:val="center"/>
          </w:tcPr>
          <w:p>
            <w:pPr>
              <w:autoSpaceDE w:val="0"/>
              <w:autoSpaceDN w:val="0"/>
              <w:jc w:val="center"/>
              <w:rPr>
                <w:rFonts w:ascii="Arial" w:hAnsi="Arial" w:cs="Arial"/>
                <w:b/>
                <w:caps/>
                <w:sz w:val="16"/>
                <w:szCs w:val="16"/>
              </w:rPr>
            </w:pPr>
            <w:r>
              <w:rPr>
                <w:rFonts w:ascii="Arial" w:hAnsi="Arial" w:cs="Arial"/>
                <w:b/>
                <w:caps/>
                <w:sz w:val="16"/>
                <w:szCs w:val="16"/>
              </w:rPr>
              <w:t>Результаты,</w:t>
            </w:r>
          </w:p>
          <w:p>
            <w:pPr>
              <w:autoSpaceDE w:val="0"/>
              <w:autoSpaceDN w:val="0"/>
              <w:jc w:val="center"/>
              <w:rPr>
                <w:rFonts w:ascii="Arial" w:hAnsi="Arial" w:cs="Arial"/>
                <w:b/>
                <w:caps/>
                <w:sz w:val="16"/>
                <w:szCs w:val="16"/>
              </w:rPr>
            </w:pPr>
            <w:r>
              <w:rPr>
                <w:rFonts w:ascii="Arial" w:hAnsi="Arial" w:cs="Arial"/>
                <w:b/>
                <w:caps/>
                <w:sz w:val="16"/>
                <w:szCs w:val="16"/>
              </w:rPr>
              <w:t>Соответствие требованиям</w:t>
            </w:r>
          </w:p>
        </w:tc>
        <w:tc>
          <w:tcPr>
            <w:tcW w:w="430" w:type="pct"/>
            <w:tcBorders>
              <w:top w:val="nil"/>
              <w:left w:val="single" w:sz="4"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hAnsi="Arial" w:cs="Arial"/>
                <w:b/>
                <w:caps/>
                <w:sz w:val="16"/>
                <w:szCs w:val="16"/>
              </w:rPr>
            </w:pPr>
            <w:r>
              <w:rPr>
                <w:rFonts w:ascii="Arial" w:hAnsi="Arial" w:cs="Arial"/>
                <w:b/>
                <w:caps/>
                <w:sz w:val="16"/>
                <w:szCs w:val="16"/>
              </w:rPr>
              <w:t>ФИО</w:t>
            </w:r>
          </w:p>
          <w:p>
            <w:pPr>
              <w:autoSpaceDE w:val="0"/>
              <w:autoSpaceDN w:val="0"/>
              <w:jc w:val="center"/>
              <w:rPr>
                <w:rFonts w:ascii="Arial" w:hAnsi="Arial" w:cs="Arial"/>
                <w:b/>
                <w:caps/>
                <w:sz w:val="16"/>
                <w:szCs w:val="16"/>
              </w:rPr>
            </w:pPr>
            <w:r>
              <w:rPr>
                <w:rFonts w:ascii="Arial" w:hAnsi="Arial" w:cs="Arial"/>
                <w:b/>
                <w:caps/>
                <w:sz w:val="16"/>
                <w:szCs w:val="16"/>
              </w:rPr>
              <w:t>Подпись</w:t>
            </w:r>
          </w:p>
        </w:tc>
        <w:tc>
          <w:tcPr>
            <w:tcW w:w="558" w:type="pct"/>
            <w:vMerge/>
            <w:tcBorders>
              <w:left w:val="nil"/>
              <w:bottom w:val="single" w:sz="8"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p>
        </w:tc>
      </w:tr>
      <w:tr>
        <w:trPr>
          <w:jc w:val="center"/>
        </w:trPr>
        <w:tc>
          <w:tcPr>
            <w:tcW w:w="271" w:type="pct"/>
            <w:tcBorders>
              <w:top w:val="single" w:sz="8" w:space="0" w:color="auto"/>
              <w:left w:val="single" w:sz="8" w:space="0" w:color="auto"/>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color w:val="000000"/>
                <w:sz w:val="16"/>
                <w:szCs w:val="16"/>
                <w:lang w:eastAsia="ru-RU"/>
              </w:rPr>
            </w:pPr>
            <w:r>
              <w:rPr>
                <w:rFonts w:ascii="Arial" w:eastAsia="Times New Roman" w:hAnsi="Arial" w:cs="Arial"/>
                <w:b/>
                <w:color w:val="000000"/>
                <w:sz w:val="16"/>
                <w:szCs w:val="16"/>
                <w:lang w:eastAsia="ru-RU"/>
              </w:rPr>
              <w:t>1</w:t>
            </w:r>
          </w:p>
        </w:tc>
        <w:tc>
          <w:tcPr>
            <w:tcW w:w="657" w:type="pct"/>
            <w:tcBorders>
              <w:top w:val="single" w:sz="8" w:space="0" w:color="auto"/>
              <w:left w:val="single" w:sz="8" w:space="0" w:color="auto"/>
              <w:bottom w:val="single" w:sz="4" w:space="0" w:color="auto"/>
              <w:right w:val="single" w:sz="8" w:space="0" w:color="auto"/>
            </w:tcBorders>
            <w:shd w:val="clear" w:color="auto" w:fill="FFD200"/>
          </w:tcPr>
          <w:p>
            <w:pPr>
              <w:autoSpaceDE w:val="0"/>
              <w:autoSpaceDN w:val="0"/>
              <w:jc w:val="center"/>
              <w:rPr>
                <w:rFonts w:ascii="Arial" w:eastAsia="Times New Roman" w:hAnsi="Arial" w:cs="Arial"/>
                <w:b/>
                <w:color w:val="000000"/>
                <w:sz w:val="16"/>
                <w:szCs w:val="16"/>
                <w:lang w:eastAsia="ru-RU"/>
              </w:rPr>
            </w:pPr>
          </w:p>
        </w:tc>
        <w:tc>
          <w:tcPr>
            <w:tcW w:w="641" w:type="pct"/>
            <w:tcBorders>
              <w:top w:val="single" w:sz="8" w:space="0" w:color="auto"/>
              <w:left w:val="single" w:sz="8"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color w:val="000000"/>
                <w:sz w:val="16"/>
                <w:szCs w:val="16"/>
                <w:lang w:eastAsia="ru-RU"/>
              </w:rPr>
              <w:t>2</w:t>
            </w:r>
          </w:p>
        </w:tc>
        <w:tc>
          <w:tcPr>
            <w:tcW w:w="749" w:type="pct"/>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3</w:t>
            </w:r>
          </w:p>
        </w:tc>
        <w:tc>
          <w:tcPr>
            <w:tcW w:w="775" w:type="pct"/>
            <w:tcBorders>
              <w:top w:val="single" w:sz="8" w:space="0" w:color="auto"/>
              <w:left w:val="single" w:sz="4" w:space="0" w:color="auto"/>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4</w:t>
            </w:r>
          </w:p>
        </w:tc>
        <w:tc>
          <w:tcPr>
            <w:tcW w:w="270" w:type="pct"/>
            <w:tcBorders>
              <w:top w:val="single" w:sz="8" w:space="0" w:color="auto"/>
              <w:left w:val="nil"/>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5</w:t>
            </w:r>
          </w:p>
        </w:tc>
        <w:tc>
          <w:tcPr>
            <w:tcW w:w="649" w:type="pct"/>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6</w:t>
            </w:r>
          </w:p>
        </w:tc>
        <w:tc>
          <w:tcPr>
            <w:tcW w:w="430" w:type="pct"/>
            <w:tcBorders>
              <w:top w:val="single" w:sz="8" w:space="0" w:color="auto"/>
              <w:left w:val="single" w:sz="4"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7</w:t>
            </w:r>
          </w:p>
        </w:tc>
        <w:tc>
          <w:tcPr>
            <w:tcW w:w="558" w:type="pct"/>
            <w:tcBorders>
              <w:top w:val="single" w:sz="8" w:space="0" w:color="auto"/>
              <w:left w:val="nil"/>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8</w:t>
            </w:r>
          </w:p>
        </w:tc>
      </w:tr>
      <w:tr>
        <w:trPr>
          <w:jc w:val="center"/>
        </w:trPr>
        <w:tc>
          <w:tcPr>
            <w:tcW w:w="271" w:type="pct"/>
            <w:tcBorders>
              <w:top w:val="single" w:sz="4" w:space="0" w:color="auto"/>
              <w:left w:val="single" w:sz="8" w:space="0" w:color="auto"/>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657" w:type="pct"/>
            <w:tcBorders>
              <w:top w:val="single" w:sz="4" w:space="0" w:color="auto"/>
              <w:left w:val="single" w:sz="8" w:space="0" w:color="auto"/>
              <w:bottom w:val="single" w:sz="8" w:space="0" w:color="auto"/>
              <w:right w:val="single" w:sz="8" w:space="0" w:color="auto"/>
            </w:tcBorders>
            <w:shd w:val="clear" w:color="auto" w:fill="FFFFFF"/>
          </w:tcPr>
          <w:p>
            <w:pPr>
              <w:autoSpaceDE w:val="0"/>
              <w:autoSpaceDN w:val="0"/>
              <w:jc w:val="center"/>
              <w:rPr>
                <w:rFonts w:eastAsia="Times New Roman"/>
                <w:color w:val="000000"/>
                <w:sz w:val="20"/>
                <w:szCs w:val="20"/>
                <w:lang w:eastAsia="ru-RU"/>
              </w:rPr>
            </w:pPr>
          </w:p>
        </w:tc>
        <w:tc>
          <w:tcPr>
            <w:tcW w:w="641"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749" w:type="pct"/>
            <w:tcBorders>
              <w:top w:val="single" w:sz="4" w:space="0" w:color="auto"/>
              <w:left w:val="nil"/>
              <w:bottom w:val="single" w:sz="8" w:space="0" w:color="auto"/>
              <w:right w:val="single" w:sz="4" w:space="0" w:color="auto"/>
            </w:tcBorders>
            <w:shd w:val="clear" w:color="auto" w:fill="FFFFFF"/>
          </w:tcPr>
          <w:p>
            <w:pPr>
              <w:jc w:val="center"/>
              <w:rPr>
                <w:rFonts w:ascii="Arial" w:hAnsi="Arial" w:cs="Arial"/>
                <w:b/>
                <w:caps/>
                <w:sz w:val="16"/>
                <w:szCs w:val="16"/>
              </w:rPr>
            </w:pPr>
          </w:p>
        </w:tc>
        <w:tc>
          <w:tcPr>
            <w:tcW w:w="775" w:type="pct"/>
            <w:tcBorders>
              <w:top w:val="single" w:sz="4" w:space="0" w:color="auto"/>
              <w:left w:val="single" w:sz="4" w:space="0" w:color="auto"/>
              <w:bottom w:val="single" w:sz="8" w:space="0" w:color="auto"/>
              <w:right w:val="single" w:sz="4" w:space="0" w:color="auto"/>
            </w:tcBorders>
            <w:shd w:val="clear" w:color="auto" w:fill="FFFFFF"/>
          </w:tcPr>
          <w:p>
            <w:pPr>
              <w:jc w:val="center"/>
              <w:rPr>
                <w:rFonts w:ascii="Arial" w:hAnsi="Arial" w:cs="Arial"/>
                <w:b/>
                <w:caps/>
                <w:sz w:val="16"/>
                <w:szCs w:val="16"/>
              </w:rPr>
            </w:pPr>
          </w:p>
        </w:tc>
        <w:tc>
          <w:tcPr>
            <w:tcW w:w="270"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649" w:type="pct"/>
            <w:tcBorders>
              <w:top w:val="single" w:sz="4" w:space="0" w:color="auto"/>
              <w:left w:val="nil"/>
              <w:bottom w:val="single" w:sz="8" w:space="0" w:color="auto"/>
              <w:right w:val="single" w:sz="4"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430" w:type="pct"/>
            <w:tcBorders>
              <w:top w:val="single" w:sz="4" w:space="0" w:color="auto"/>
              <w:left w:val="single" w:sz="4"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558" w:type="pct"/>
            <w:tcBorders>
              <w:top w:val="single" w:sz="4" w:space="0" w:color="auto"/>
              <w:left w:val="nil"/>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r>
    </w:tbl>
    <w:p>
      <w:pPr>
        <w:pStyle w:val="S4"/>
      </w:pPr>
    </w:p>
    <w:p>
      <w:pPr>
        <w:pStyle w:val="S4"/>
        <w:jc w:val="right"/>
        <w:rPr>
          <w:rFonts w:ascii="Arial" w:hAnsi="Arial" w:cs="Arial"/>
          <w:b/>
          <w:sz w:val="22"/>
          <w:szCs w:val="22"/>
        </w:rPr>
      </w:pPr>
      <w:r>
        <w:rPr>
          <w:rFonts w:ascii="Arial" w:hAnsi="Arial" w:cs="Arial"/>
          <w:b/>
          <w:sz w:val="22"/>
          <w:szCs w:val="22"/>
        </w:rPr>
        <w:t>Форма 4</w:t>
      </w:r>
    </w:p>
    <w:p>
      <w:pPr>
        <w:keepNext/>
        <w:keepLines/>
        <w:jc w:val="center"/>
        <w:rPr>
          <w:rFonts w:ascii="Arial" w:hAnsi="Arial" w:cs="Arial"/>
          <w:b/>
          <w:sz w:val="22"/>
        </w:rPr>
      </w:pPr>
      <w:r>
        <w:rPr>
          <w:rFonts w:ascii="Arial" w:hAnsi="Arial" w:cs="Arial"/>
          <w:b/>
          <w:sz w:val="22"/>
        </w:rPr>
        <w:t>Журнал профилактического и восстановительного технического обслуживания оборудования _____________________</w:t>
      </w:r>
    </w:p>
    <w:p>
      <w:pPr>
        <w:keepNext/>
        <w:keepLines/>
        <w:jc w:val="center"/>
        <w:rPr>
          <w:rFonts w:ascii="Arial" w:hAnsi="Arial" w:cs="Arial"/>
          <w:sz w:val="22"/>
        </w:rPr>
      </w:pPr>
      <w:r>
        <w:rPr>
          <w:rFonts w:ascii="Arial" w:hAnsi="Arial" w:cs="Arial"/>
          <w:sz w:val="22"/>
        </w:rPr>
        <w:t xml:space="preserve">                   (помещение)</w:t>
      </w:r>
    </w:p>
    <w:p>
      <w:pPr>
        <w:keepNext/>
        <w:keepLines/>
      </w:pPr>
    </w:p>
    <w:tbl>
      <w:tblPr>
        <w:tblW w:w="5000" w:type="pct"/>
        <w:jc w:val="center"/>
        <w:shd w:val="clear" w:color="auto" w:fill="FFFFFF"/>
        <w:tblLook w:val="04A0" w:firstRow="1" w:lastRow="0" w:firstColumn="1" w:lastColumn="0" w:noHBand="0" w:noVBand="1"/>
      </w:tblPr>
      <w:tblGrid>
        <w:gridCol w:w="454"/>
        <w:gridCol w:w="1451"/>
        <w:gridCol w:w="1602"/>
        <w:gridCol w:w="1624"/>
        <w:gridCol w:w="979"/>
        <w:gridCol w:w="1259"/>
        <w:gridCol w:w="1127"/>
        <w:gridCol w:w="1358"/>
      </w:tblGrid>
      <w:tr>
        <w:trPr>
          <w:trHeight w:val="915"/>
          <w:tblHeader/>
          <w:jc w:val="center"/>
        </w:trPr>
        <w:tc>
          <w:tcPr>
            <w:tcW w:w="212" w:type="pct"/>
            <w:tcBorders>
              <w:top w:val="single" w:sz="8" w:space="0" w:color="auto"/>
              <w:left w:val="single" w:sz="8" w:space="0" w:color="auto"/>
              <w:right w:val="single" w:sz="8" w:space="0" w:color="auto"/>
            </w:tcBorders>
            <w:shd w:val="clear" w:color="auto" w:fill="FFD200"/>
            <w:vAlign w:val="center"/>
          </w:tcPr>
          <w:p>
            <w:pPr>
              <w:keepNext/>
              <w:keepLines/>
              <w:jc w:val="center"/>
              <w:rPr>
                <w:rFonts w:ascii="Arial" w:hAnsi="Arial" w:cs="Arial"/>
                <w:b/>
                <w:caps/>
                <w:sz w:val="16"/>
                <w:szCs w:val="16"/>
              </w:rPr>
            </w:pPr>
            <w:r>
              <w:rPr>
                <w:rFonts w:ascii="Arial" w:hAnsi="Arial" w:cs="Arial"/>
                <w:b/>
                <w:caps/>
                <w:sz w:val="16"/>
                <w:szCs w:val="16"/>
              </w:rPr>
              <w:t>№</w:t>
            </w:r>
          </w:p>
          <w:p>
            <w:pPr>
              <w:keepNext/>
              <w:keepLines/>
              <w:jc w:val="center"/>
              <w:rPr>
                <w:rFonts w:ascii="Arial" w:hAnsi="Arial" w:cs="Arial"/>
                <w:b/>
                <w:caps/>
                <w:sz w:val="16"/>
                <w:szCs w:val="16"/>
              </w:rPr>
            </w:pPr>
            <w:r>
              <w:rPr>
                <w:rFonts w:ascii="Arial" w:hAnsi="Arial" w:cs="Arial"/>
                <w:b/>
                <w:sz w:val="16"/>
                <w:szCs w:val="16"/>
              </w:rPr>
              <w:t>п/п</w:t>
            </w:r>
          </w:p>
        </w:tc>
        <w:tc>
          <w:tcPr>
            <w:tcW w:w="677" w:type="pct"/>
            <w:tcBorders>
              <w:top w:val="single" w:sz="8" w:space="0" w:color="auto"/>
              <w:left w:val="single" w:sz="8" w:space="0" w:color="auto"/>
              <w:bottom w:val="single" w:sz="8" w:space="0" w:color="auto"/>
              <w:right w:val="single" w:sz="8" w:space="0" w:color="auto"/>
            </w:tcBorders>
            <w:shd w:val="clear" w:color="auto" w:fill="FFD200"/>
            <w:tcMar>
              <w:top w:w="0" w:type="dxa"/>
              <w:left w:w="28" w:type="dxa"/>
              <w:bottom w:w="0" w:type="dxa"/>
              <w:right w:w="28" w:type="dxa"/>
            </w:tcMar>
            <w:vAlign w:val="center"/>
            <w:hideMark/>
          </w:tcPr>
          <w:p>
            <w:pPr>
              <w:keepNext/>
              <w:keepLines/>
              <w:jc w:val="center"/>
              <w:rPr>
                <w:rFonts w:ascii="Arial" w:hAnsi="Arial" w:cs="Arial"/>
                <w:b/>
                <w:caps/>
                <w:sz w:val="16"/>
                <w:szCs w:val="16"/>
              </w:rPr>
            </w:pPr>
            <w:r>
              <w:rPr>
                <w:rFonts w:ascii="Arial" w:hAnsi="Arial" w:cs="Arial"/>
                <w:b/>
                <w:caps/>
                <w:sz w:val="16"/>
                <w:szCs w:val="16"/>
              </w:rPr>
              <w:t>Наименование оборудования</w:t>
            </w:r>
          </w:p>
        </w:tc>
        <w:tc>
          <w:tcPr>
            <w:tcW w:w="748" w:type="pct"/>
            <w:tcBorders>
              <w:top w:val="single" w:sz="8" w:space="0" w:color="auto"/>
              <w:left w:val="nil"/>
              <w:right w:val="single" w:sz="4" w:space="0" w:color="auto"/>
            </w:tcBorders>
            <w:shd w:val="clear" w:color="auto" w:fill="FFD200"/>
            <w:vAlign w:val="center"/>
          </w:tcPr>
          <w:p>
            <w:pPr>
              <w:keepNext/>
              <w:keepLines/>
              <w:jc w:val="center"/>
              <w:rPr>
                <w:rFonts w:ascii="Arial" w:hAnsi="Arial" w:cs="Arial"/>
                <w:b/>
                <w:caps/>
                <w:sz w:val="16"/>
                <w:szCs w:val="16"/>
              </w:rPr>
            </w:pPr>
            <w:r>
              <w:rPr>
                <w:rFonts w:ascii="Arial" w:hAnsi="Arial" w:cs="Arial"/>
                <w:b/>
                <w:caps/>
                <w:sz w:val="16"/>
                <w:szCs w:val="16"/>
              </w:rPr>
              <w:t>Номер оборудования</w:t>
            </w:r>
          </w:p>
        </w:tc>
        <w:tc>
          <w:tcPr>
            <w:tcW w:w="874" w:type="pct"/>
            <w:tcBorders>
              <w:top w:val="single" w:sz="8" w:space="0" w:color="auto"/>
              <w:left w:val="single" w:sz="4" w:space="0" w:color="auto"/>
              <w:right w:val="single" w:sz="4" w:space="0" w:color="auto"/>
            </w:tcBorders>
            <w:shd w:val="clear" w:color="auto" w:fill="FFD200"/>
            <w:vAlign w:val="center"/>
          </w:tcPr>
          <w:p>
            <w:pPr>
              <w:keepNext/>
              <w:keepLines/>
              <w:jc w:val="center"/>
              <w:rPr>
                <w:rFonts w:ascii="Arial" w:hAnsi="Arial" w:cs="Arial"/>
                <w:b/>
                <w:caps/>
                <w:sz w:val="16"/>
                <w:szCs w:val="16"/>
              </w:rPr>
            </w:pPr>
            <w:r>
              <w:rPr>
                <w:rFonts w:ascii="Arial" w:hAnsi="Arial" w:cs="Arial"/>
                <w:b/>
                <w:caps/>
                <w:sz w:val="16"/>
                <w:szCs w:val="16"/>
              </w:rPr>
              <w:t>Выполненные работы</w:t>
            </w:r>
          </w:p>
        </w:tc>
        <w:tc>
          <w:tcPr>
            <w:tcW w:w="546" w:type="pct"/>
            <w:tcBorders>
              <w:top w:val="single" w:sz="8" w:space="0" w:color="auto"/>
              <w:left w:val="single" w:sz="4" w:space="0" w:color="auto"/>
              <w:right w:val="single" w:sz="4" w:space="0" w:color="auto"/>
            </w:tcBorders>
            <w:shd w:val="clear" w:color="auto" w:fill="FFD200"/>
            <w:vAlign w:val="center"/>
          </w:tcPr>
          <w:p>
            <w:pPr>
              <w:keepNext/>
              <w:keepLines/>
              <w:jc w:val="center"/>
              <w:rPr>
                <w:rFonts w:ascii="Arial" w:hAnsi="Arial" w:cs="Arial"/>
                <w:b/>
                <w:caps/>
                <w:sz w:val="16"/>
                <w:szCs w:val="16"/>
              </w:rPr>
            </w:pPr>
            <w:r>
              <w:rPr>
                <w:rFonts w:ascii="Arial" w:hAnsi="Arial" w:cs="Arial"/>
                <w:b/>
                <w:caps/>
                <w:sz w:val="16"/>
                <w:szCs w:val="16"/>
              </w:rPr>
              <w:t>Дата</w:t>
            </w:r>
          </w:p>
        </w:tc>
        <w:tc>
          <w:tcPr>
            <w:tcW w:w="688" w:type="pct"/>
            <w:tcBorders>
              <w:top w:val="single" w:sz="8" w:space="0" w:color="auto"/>
              <w:left w:val="single" w:sz="4" w:space="0" w:color="auto"/>
              <w:bottom w:val="single" w:sz="8" w:space="0" w:color="auto"/>
              <w:right w:val="single" w:sz="4" w:space="0" w:color="auto"/>
            </w:tcBorders>
            <w:shd w:val="clear" w:color="auto" w:fill="FFD200"/>
            <w:vAlign w:val="center"/>
          </w:tcPr>
          <w:p>
            <w:pPr>
              <w:keepNext/>
              <w:keepLines/>
              <w:autoSpaceDE w:val="0"/>
              <w:autoSpaceDN w:val="0"/>
              <w:jc w:val="center"/>
              <w:rPr>
                <w:rFonts w:ascii="Arial" w:hAnsi="Arial" w:cs="Arial"/>
                <w:b/>
                <w:caps/>
                <w:sz w:val="16"/>
                <w:szCs w:val="16"/>
              </w:rPr>
            </w:pPr>
            <w:r>
              <w:rPr>
                <w:rFonts w:ascii="Arial" w:hAnsi="Arial" w:cs="Arial"/>
                <w:b/>
                <w:caps/>
                <w:sz w:val="16"/>
                <w:szCs w:val="16"/>
              </w:rPr>
              <w:t>ФИО</w:t>
            </w:r>
          </w:p>
        </w:tc>
        <w:tc>
          <w:tcPr>
            <w:tcW w:w="621" w:type="pct"/>
            <w:tcBorders>
              <w:top w:val="single" w:sz="8" w:space="0" w:color="auto"/>
              <w:left w:val="single" w:sz="4" w:space="0" w:color="auto"/>
              <w:bottom w:val="single" w:sz="8" w:space="0" w:color="auto"/>
              <w:right w:val="single" w:sz="4" w:space="0" w:color="auto"/>
            </w:tcBorders>
            <w:shd w:val="clear" w:color="auto" w:fill="FFD200"/>
            <w:vAlign w:val="center"/>
          </w:tcPr>
          <w:p>
            <w:pPr>
              <w:keepNext/>
              <w:keepLines/>
              <w:autoSpaceDE w:val="0"/>
              <w:autoSpaceDN w:val="0"/>
              <w:jc w:val="center"/>
              <w:rPr>
                <w:rFonts w:ascii="Arial" w:hAnsi="Arial" w:cs="Arial"/>
                <w:b/>
                <w:caps/>
                <w:sz w:val="16"/>
                <w:szCs w:val="16"/>
              </w:rPr>
            </w:pPr>
            <w:r>
              <w:rPr>
                <w:rFonts w:ascii="Arial" w:hAnsi="Arial" w:cs="Arial"/>
                <w:b/>
                <w:caps/>
                <w:sz w:val="16"/>
                <w:szCs w:val="16"/>
              </w:rPr>
              <w:t>Подпись</w:t>
            </w:r>
          </w:p>
        </w:tc>
        <w:tc>
          <w:tcPr>
            <w:tcW w:w="634" w:type="pct"/>
            <w:tcBorders>
              <w:top w:val="single" w:sz="8" w:space="0" w:color="auto"/>
              <w:left w:val="single" w:sz="4" w:space="0" w:color="auto"/>
              <w:bottom w:val="single" w:sz="8" w:space="0" w:color="auto"/>
              <w:right w:val="single" w:sz="4" w:space="0" w:color="auto"/>
            </w:tcBorders>
            <w:shd w:val="clear" w:color="auto" w:fill="FFD200"/>
            <w:vAlign w:val="center"/>
          </w:tcPr>
          <w:p>
            <w:pPr>
              <w:keepNext/>
              <w:keepLines/>
              <w:jc w:val="center"/>
              <w:rPr>
                <w:rFonts w:ascii="Arial" w:hAnsi="Arial" w:cs="Arial"/>
                <w:b/>
                <w:caps/>
                <w:sz w:val="16"/>
                <w:szCs w:val="16"/>
              </w:rPr>
            </w:pPr>
            <w:r>
              <w:rPr>
                <w:rFonts w:ascii="Arial" w:hAnsi="Arial" w:cs="Arial"/>
                <w:b/>
                <w:caps/>
                <w:sz w:val="16"/>
                <w:szCs w:val="16"/>
              </w:rPr>
              <w:t>Примечание</w:t>
            </w:r>
          </w:p>
        </w:tc>
      </w:tr>
      <w:tr>
        <w:trPr>
          <w:jc w:val="center"/>
        </w:trPr>
        <w:tc>
          <w:tcPr>
            <w:tcW w:w="212" w:type="pct"/>
            <w:tcBorders>
              <w:top w:val="single" w:sz="8" w:space="0" w:color="auto"/>
              <w:left w:val="single" w:sz="8" w:space="0" w:color="auto"/>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color w:val="000000"/>
                <w:sz w:val="16"/>
                <w:szCs w:val="16"/>
                <w:lang w:eastAsia="ru-RU"/>
              </w:rPr>
            </w:pPr>
            <w:r>
              <w:rPr>
                <w:rFonts w:ascii="Arial" w:eastAsia="Times New Roman" w:hAnsi="Arial" w:cs="Arial"/>
                <w:b/>
                <w:color w:val="000000"/>
                <w:sz w:val="16"/>
                <w:szCs w:val="16"/>
                <w:lang w:eastAsia="ru-RU"/>
              </w:rPr>
              <w:t>1</w:t>
            </w:r>
          </w:p>
        </w:tc>
        <w:tc>
          <w:tcPr>
            <w:tcW w:w="677" w:type="pct"/>
            <w:tcBorders>
              <w:top w:val="single" w:sz="8" w:space="0" w:color="auto"/>
              <w:left w:val="single" w:sz="8" w:space="0" w:color="auto"/>
              <w:bottom w:val="single" w:sz="4" w:space="0" w:color="auto"/>
              <w:right w:val="single" w:sz="8" w:space="0" w:color="auto"/>
            </w:tcBorders>
            <w:shd w:val="clear" w:color="auto" w:fill="FFD200"/>
            <w:tcMar>
              <w:top w:w="0" w:type="dxa"/>
              <w:left w:w="28" w:type="dxa"/>
              <w:bottom w:w="0" w:type="dxa"/>
              <w:right w:w="28" w:type="dxa"/>
            </w:tcMar>
            <w:vAlign w:val="center"/>
            <w:hideMark/>
          </w:tcPr>
          <w:p>
            <w:pPr>
              <w:autoSpaceDE w:val="0"/>
              <w:autoSpaceDN w:val="0"/>
              <w:jc w:val="center"/>
              <w:rPr>
                <w:rFonts w:ascii="Arial" w:eastAsia="Times New Roman" w:hAnsi="Arial" w:cs="Arial"/>
                <w:b/>
                <w:sz w:val="16"/>
                <w:szCs w:val="16"/>
                <w:lang w:eastAsia="ru-RU"/>
              </w:rPr>
            </w:pPr>
            <w:r>
              <w:rPr>
                <w:rFonts w:ascii="Arial" w:eastAsia="Times New Roman" w:hAnsi="Arial" w:cs="Arial"/>
                <w:b/>
                <w:color w:val="000000"/>
                <w:sz w:val="16"/>
                <w:szCs w:val="16"/>
                <w:lang w:eastAsia="ru-RU"/>
              </w:rPr>
              <w:t>2</w:t>
            </w:r>
          </w:p>
        </w:tc>
        <w:tc>
          <w:tcPr>
            <w:tcW w:w="748" w:type="pct"/>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3</w:t>
            </w:r>
          </w:p>
        </w:tc>
        <w:tc>
          <w:tcPr>
            <w:tcW w:w="874" w:type="pct"/>
            <w:tcBorders>
              <w:top w:val="single" w:sz="8" w:space="0" w:color="auto"/>
              <w:left w:val="single" w:sz="4" w:space="0" w:color="auto"/>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4</w:t>
            </w:r>
          </w:p>
        </w:tc>
        <w:tc>
          <w:tcPr>
            <w:tcW w:w="546" w:type="pct"/>
            <w:tcBorders>
              <w:top w:val="single" w:sz="8" w:space="0" w:color="auto"/>
              <w:left w:val="single" w:sz="4" w:space="0" w:color="auto"/>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5</w:t>
            </w:r>
          </w:p>
        </w:tc>
        <w:tc>
          <w:tcPr>
            <w:tcW w:w="688" w:type="pct"/>
            <w:tcBorders>
              <w:top w:val="single" w:sz="8" w:space="0" w:color="auto"/>
              <w:left w:val="nil"/>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6</w:t>
            </w:r>
          </w:p>
        </w:tc>
        <w:tc>
          <w:tcPr>
            <w:tcW w:w="621" w:type="pct"/>
            <w:tcBorders>
              <w:top w:val="single" w:sz="8" w:space="0" w:color="auto"/>
              <w:left w:val="single" w:sz="4" w:space="0" w:color="auto"/>
              <w:bottom w:val="single" w:sz="4" w:space="0" w:color="auto"/>
              <w:right w:val="single" w:sz="4"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7</w:t>
            </w:r>
          </w:p>
        </w:tc>
        <w:tc>
          <w:tcPr>
            <w:tcW w:w="634" w:type="pct"/>
            <w:tcBorders>
              <w:top w:val="single" w:sz="8" w:space="0" w:color="auto"/>
              <w:left w:val="single" w:sz="4" w:space="0" w:color="auto"/>
              <w:bottom w:val="single" w:sz="4" w:space="0" w:color="auto"/>
              <w:right w:val="single" w:sz="8" w:space="0" w:color="auto"/>
            </w:tcBorders>
            <w:shd w:val="clear" w:color="auto" w:fill="FFD200"/>
            <w:vAlign w:val="center"/>
          </w:tcPr>
          <w:p>
            <w:pPr>
              <w:autoSpaceDE w:val="0"/>
              <w:autoSpaceDN w:val="0"/>
              <w:jc w:val="center"/>
              <w:rPr>
                <w:rFonts w:ascii="Arial" w:eastAsia="Times New Roman" w:hAnsi="Arial" w:cs="Arial"/>
                <w:b/>
                <w:sz w:val="16"/>
                <w:szCs w:val="16"/>
                <w:lang w:eastAsia="ru-RU"/>
              </w:rPr>
            </w:pPr>
            <w:r>
              <w:rPr>
                <w:rFonts w:ascii="Arial" w:eastAsia="Times New Roman" w:hAnsi="Arial" w:cs="Arial"/>
                <w:b/>
                <w:sz w:val="16"/>
                <w:szCs w:val="16"/>
                <w:lang w:eastAsia="ru-RU"/>
              </w:rPr>
              <w:t>8</w:t>
            </w:r>
          </w:p>
        </w:tc>
      </w:tr>
      <w:tr>
        <w:trPr>
          <w:jc w:val="center"/>
        </w:trPr>
        <w:tc>
          <w:tcPr>
            <w:tcW w:w="212" w:type="pct"/>
            <w:tcBorders>
              <w:top w:val="single" w:sz="4" w:space="0" w:color="auto"/>
              <w:left w:val="single" w:sz="8" w:space="0" w:color="auto"/>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c>
          <w:tcPr>
            <w:tcW w:w="677"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pPr>
              <w:autoSpaceDE w:val="0"/>
              <w:autoSpaceDN w:val="0"/>
              <w:jc w:val="center"/>
              <w:rPr>
                <w:rFonts w:eastAsia="Times New Roman"/>
                <w:color w:val="000000"/>
                <w:sz w:val="20"/>
                <w:szCs w:val="20"/>
                <w:lang w:eastAsia="ru-RU"/>
              </w:rPr>
            </w:pPr>
          </w:p>
        </w:tc>
        <w:tc>
          <w:tcPr>
            <w:tcW w:w="748" w:type="pct"/>
            <w:tcBorders>
              <w:top w:val="single" w:sz="4" w:space="0" w:color="auto"/>
              <w:left w:val="nil"/>
              <w:bottom w:val="single" w:sz="8" w:space="0" w:color="auto"/>
              <w:right w:val="single" w:sz="4" w:space="0" w:color="auto"/>
            </w:tcBorders>
            <w:shd w:val="clear" w:color="auto" w:fill="FFFFFF"/>
          </w:tcPr>
          <w:p>
            <w:pPr>
              <w:jc w:val="center"/>
              <w:rPr>
                <w:rFonts w:ascii="Arial" w:hAnsi="Arial" w:cs="Arial"/>
                <w:b/>
                <w:caps/>
                <w:sz w:val="16"/>
                <w:szCs w:val="16"/>
              </w:rPr>
            </w:pPr>
          </w:p>
        </w:tc>
        <w:tc>
          <w:tcPr>
            <w:tcW w:w="874" w:type="pct"/>
            <w:tcBorders>
              <w:top w:val="single" w:sz="4" w:space="0" w:color="auto"/>
              <w:left w:val="single" w:sz="4" w:space="0" w:color="auto"/>
              <w:bottom w:val="single" w:sz="8" w:space="0" w:color="auto"/>
              <w:right w:val="single" w:sz="4" w:space="0" w:color="auto"/>
            </w:tcBorders>
            <w:shd w:val="clear" w:color="auto" w:fill="FFFFFF"/>
          </w:tcPr>
          <w:p>
            <w:pPr>
              <w:jc w:val="center"/>
              <w:rPr>
                <w:rFonts w:ascii="Arial" w:hAnsi="Arial" w:cs="Arial"/>
                <w:b/>
                <w:caps/>
                <w:sz w:val="16"/>
                <w:szCs w:val="16"/>
              </w:rPr>
            </w:pPr>
          </w:p>
        </w:tc>
        <w:tc>
          <w:tcPr>
            <w:tcW w:w="546" w:type="pct"/>
            <w:tcBorders>
              <w:top w:val="single" w:sz="4" w:space="0" w:color="auto"/>
              <w:left w:val="single" w:sz="4" w:space="0" w:color="auto"/>
              <w:bottom w:val="single" w:sz="8" w:space="0" w:color="auto"/>
              <w:right w:val="single" w:sz="4" w:space="0" w:color="auto"/>
            </w:tcBorders>
            <w:shd w:val="clear" w:color="auto" w:fill="FFFFFF"/>
          </w:tcPr>
          <w:p>
            <w:pPr>
              <w:jc w:val="center"/>
              <w:rPr>
                <w:rFonts w:ascii="Arial" w:hAnsi="Arial" w:cs="Arial"/>
                <w:b/>
                <w:caps/>
                <w:sz w:val="16"/>
                <w:szCs w:val="16"/>
              </w:rPr>
            </w:pPr>
          </w:p>
        </w:tc>
        <w:tc>
          <w:tcPr>
            <w:tcW w:w="688" w:type="pct"/>
            <w:tcBorders>
              <w:top w:val="single" w:sz="4" w:space="0" w:color="auto"/>
              <w:left w:val="nil"/>
              <w:bottom w:val="single" w:sz="8" w:space="0" w:color="auto"/>
              <w:right w:val="single" w:sz="4" w:space="0" w:color="auto"/>
            </w:tcBorders>
            <w:shd w:val="clear" w:color="auto" w:fill="FFFFFF"/>
          </w:tcPr>
          <w:p>
            <w:pPr>
              <w:autoSpaceDE w:val="0"/>
              <w:autoSpaceDN w:val="0"/>
              <w:jc w:val="center"/>
              <w:rPr>
                <w:rFonts w:eastAsia="Times New Roman"/>
                <w:color w:val="000000"/>
                <w:sz w:val="20"/>
                <w:szCs w:val="20"/>
                <w:lang w:eastAsia="ru-RU"/>
              </w:rPr>
            </w:pPr>
          </w:p>
        </w:tc>
        <w:tc>
          <w:tcPr>
            <w:tcW w:w="621" w:type="pct"/>
            <w:tcBorders>
              <w:top w:val="single" w:sz="4" w:space="0" w:color="auto"/>
              <w:left w:val="single" w:sz="4" w:space="0" w:color="auto"/>
              <w:bottom w:val="single" w:sz="8" w:space="0" w:color="auto"/>
              <w:right w:val="single" w:sz="4" w:space="0" w:color="auto"/>
            </w:tcBorders>
            <w:shd w:val="clear" w:color="auto" w:fill="FFFFFF"/>
          </w:tcPr>
          <w:p>
            <w:pPr>
              <w:autoSpaceDE w:val="0"/>
              <w:autoSpaceDN w:val="0"/>
              <w:jc w:val="center"/>
              <w:rPr>
                <w:rFonts w:eastAsia="Times New Roman"/>
                <w:color w:val="000000"/>
                <w:sz w:val="20"/>
                <w:szCs w:val="20"/>
                <w:lang w:eastAsia="ru-RU"/>
              </w:rPr>
            </w:pPr>
          </w:p>
        </w:tc>
        <w:tc>
          <w:tcPr>
            <w:tcW w:w="634" w:type="pct"/>
            <w:tcBorders>
              <w:top w:val="single" w:sz="4" w:space="0" w:color="auto"/>
              <w:left w:val="single" w:sz="4" w:space="0" w:color="auto"/>
              <w:bottom w:val="single" w:sz="8" w:space="0" w:color="auto"/>
              <w:right w:val="single" w:sz="8" w:space="0" w:color="auto"/>
            </w:tcBorders>
            <w:shd w:val="clear" w:color="auto" w:fill="FFFFFF"/>
            <w:vAlign w:val="center"/>
          </w:tcPr>
          <w:p>
            <w:pPr>
              <w:autoSpaceDE w:val="0"/>
              <w:autoSpaceDN w:val="0"/>
              <w:jc w:val="center"/>
              <w:rPr>
                <w:rFonts w:eastAsia="Times New Roman"/>
                <w:color w:val="000000"/>
                <w:sz w:val="20"/>
                <w:szCs w:val="20"/>
                <w:lang w:eastAsia="ru-RU"/>
              </w:rPr>
            </w:pPr>
          </w:p>
        </w:tc>
      </w:tr>
    </w:tbl>
    <w:p>
      <w:pPr>
        <w:pStyle w:val="S4"/>
        <w:sectPr>
          <w:pgSz w:w="11906" w:h="16838" w:code="9"/>
          <w:pgMar w:top="510" w:right="1021" w:bottom="567" w:left="1247" w:header="737" w:footer="680" w:gutter="0"/>
          <w:cols w:space="708"/>
          <w:docGrid w:linePitch="360"/>
        </w:sectPr>
      </w:pPr>
    </w:p>
    <w:p>
      <w:pPr>
        <w:pStyle w:val="20"/>
        <w:keepLines/>
        <w:spacing w:before="0" w:after="0"/>
        <w:jc w:val="both"/>
        <w:rPr>
          <w:rFonts w:eastAsia="Times New Roman"/>
          <w:i w:val="0"/>
          <w:iCs w:val="0"/>
          <w:caps/>
          <w:sz w:val="24"/>
          <w:szCs w:val="26"/>
        </w:rPr>
      </w:pPr>
      <w:bookmarkStart w:id="189" w:name="_ПРИЛОЖЕНИЕ_2._ТРЕБОВАНИЯ"/>
      <w:bookmarkStart w:id="190" w:name="_Toc479164359"/>
      <w:bookmarkStart w:id="191" w:name="_Toc480899119"/>
      <w:bookmarkEnd w:id="189"/>
      <w:r>
        <w:rPr>
          <w:rFonts w:eastAsia="Times New Roman"/>
          <w:i w:val="0"/>
          <w:iCs w:val="0"/>
          <w:sz w:val="24"/>
          <w:szCs w:val="26"/>
        </w:rPr>
        <w:lastRenderedPageBreak/>
        <w:t>ПРИЛОЖЕНИЕ 2. ТРЕБОВАНИЯ К ОБЪЕКТАМ ТЕЛЕКОММУНИКАЦИОННОЙ ИНФРАСТРУКТУРЫ</w:t>
      </w:r>
      <w:bookmarkEnd w:id="188"/>
      <w:bookmarkEnd w:id="190"/>
      <w:bookmarkEnd w:id="191"/>
    </w:p>
    <w:p>
      <w:pPr>
        <w:pStyle w:val="S4"/>
      </w:pPr>
    </w:p>
    <w:p>
      <w:pPr>
        <w:pStyle w:val="a9"/>
        <w:spacing w:before="0" w:beforeAutospacing="0" w:after="0" w:afterAutospacing="0"/>
        <w:jc w:val="right"/>
        <w:rPr>
          <w:rFonts w:ascii="Arial" w:hAnsi="Arial" w:cs="Arial"/>
          <w:b/>
          <w:sz w:val="20"/>
        </w:rPr>
      </w:pPr>
      <w:r>
        <w:rPr>
          <w:rFonts w:ascii="Arial" w:hAnsi="Arial" w:cs="Arial"/>
          <w:b/>
          <w:sz w:val="20"/>
        </w:rPr>
        <w:t xml:space="preserve">Таблица </w:t>
      </w:r>
      <w:r>
        <w:rPr>
          <w:rFonts w:ascii="Arial" w:hAnsi="Arial" w:cs="Arial"/>
          <w:b/>
          <w:sz w:val="20"/>
        </w:rPr>
        <w:fldChar w:fldCharType="begin"/>
      </w:r>
      <w:r>
        <w:rPr>
          <w:rFonts w:ascii="Arial" w:hAnsi="Arial" w:cs="Arial"/>
          <w:b/>
          <w:sz w:val="20"/>
        </w:rPr>
        <w:instrText xml:space="preserve"> SEQ Таблица \* ARABIC </w:instrText>
      </w:r>
      <w:r>
        <w:rPr>
          <w:rFonts w:ascii="Arial" w:hAnsi="Arial" w:cs="Arial"/>
          <w:b/>
          <w:sz w:val="20"/>
        </w:rPr>
        <w:fldChar w:fldCharType="separate"/>
      </w:r>
      <w:r>
        <w:rPr>
          <w:rFonts w:ascii="Arial" w:hAnsi="Arial" w:cs="Arial"/>
          <w:b/>
          <w:noProof/>
          <w:sz w:val="20"/>
        </w:rPr>
        <w:t>5</w:t>
      </w:r>
      <w:r>
        <w:rPr>
          <w:rFonts w:ascii="Arial" w:hAnsi="Arial" w:cs="Arial"/>
          <w:b/>
          <w:sz w:val="20"/>
        </w:rPr>
        <w:fldChar w:fldCharType="end"/>
      </w:r>
    </w:p>
    <w:p>
      <w:pPr>
        <w:pStyle w:val="S4"/>
        <w:spacing w:after="60"/>
        <w:jc w:val="right"/>
        <w:rPr>
          <w:rFonts w:ascii="Arial" w:hAnsi="Arial" w:cs="Arial"/>
          <w:b/>
          <w:sz w:val="20"/>
        </w:rPr>
      </w:pPr>
      <w:r>
        <w:rPr>
          <w:rFonts w:ascii="Arial" w:hAnsi="Arial" w:cs="Arial"/>
          <w:b/>
          <w:sz w:val="20"/>
        </w:rPr>
        <w:t>Требования к объектам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559"/>
        <w:gridCol w:w="1561"/>
        <w:gridCol w:w="1563"/>
        <w:gridCol w:w="1519"/>
      </w:tblGrid>
      <w:tr>
        <w:trPr>
          <w:trHeight w:val="611"/>
          <w:tblHeader/>
          <w:jc w:val="center"/>
        </w:trPr>
        <w:tc>
          <w:tcPr>
            <w:tcW w:w="1853" w:type="pct"/>
            <w:tcBorders>
              <w:top w:val="single" w:sz="12" w:space="0" w:color="auto"/>
              <w:left w:val="single" w:sz="12" w:space="0" w:color="auto"/>
              <w:bottom w:val="single" w:sz="12" w:space="0" w:color="auto"/>
              <w:right w:val="single" w:sz="6" w:space="0" w:color="auto"/>
            </w:tcBorders>
            <w:shd w:val="clear" w:color="auto" w:fill="FFD200"/>
            <w:noWrap/>
            <w:vAlign w:val="center"/>
            <w:hideMark/>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Требования</w:t>
            </w:r>
          </w:p>
        </w:tc>
        <w:tc>
          <w:tcPr>
            <w:tcW w:w="791" w:type="pct"/>
            <w:tcBorders>
              <w:top w:val="single" w:sz="12" w:space="0" w:color="auto"/>
              <w:left w:val="single" w:sz="6" w:space="0" w:color="auto"/>
              <w:bottom w:val="single" w:sz="12" w:space="0" w:color="auto"/>
              <w:right w:val="single" w:sz="6" w:space="0" w:color="auto"/>
            </w:tcBorders>
            <w:shd w:val="clear" w:color="auto" w:fill="FFD200"/>
            <w:noWrap/>
            <w:vAlign w:val="center"/>
            <w:hideMark/>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ЦОД</w:t>
            </w:r>
          </w:p>
        </w:tc>
        <w:tc>
          <w:tcPr>
            <w:tcW w:w="792" w:type="pct"/>
            <w:tcBorders>
              <w:top w:val="single" w:sz="12" w:space="0" w:color="auto"/>
              <w:left w:val="single" w:sz="6" w:space="0" w:color="auto"/>
              <w:bottom w:val="single" w:sz="12" w:space="0" w:color="auto"/>
              <w:right w:val="single" w:sz="6" w:space="0" w:color="auto"/>
            </w:tcBorders>
            <w:shd w:val="clear" w:color="auto" w:fill="FFD200"/>
            <w:vAlign w:val="center"/>
            <w:hideMark/>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Серверное помещение</w:t>
            </w:r>
          </w:p>
        </w:tc>
        <w:tc>
          <w:tcPr>
            <w:tcW w:w="793" w:type="pct"/>
            <w:tcBorders>
              <w:top w:val="single" w:sz="12" w:space="0" w:color="auto"/>
              <w:left w:val="single" w:sz="6" w:space="0" w:color="auto"/>
              <w:bottom w:val="single" w:sz="12" w:space="0" w:color="auto"/>
              <w:right w:val="single" w:sz="6" w:space="0" w:color="auto"/>
            </w:tcBorders>
            <w:shd w:val="clear" w:color="auto" w:fill="FFD200"/>
            <w:vAlign w:val="center"/>
            <w:hideMark/>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кроссовое помещение</w:t>
            </w:r>
          </w:p>
        </w:tc>
        <w:tc>
          <w:tcPr>
            <w:tcW w:w="771" w:type="pct"/>
            <w:tcBorders>
              <w:top w:val="single" w:sz="12" w:space="0" w:color="auto"/>
              <w:left w:val="single" w:sz="6" w:space="0" w:color="auto"/>
              <w:bottom w:val="single" w:sz="12" w:space="0" w:color="auto"/>
              <w:right w:val="single" w:sz="12" w:space="0" w:color="auto"/>
            </w:tcBorders>
            <w:shd w:val="clear" w:color="auto" w:fill="FFD200"/>
            <w:vAlign w:val="center"/>
            <w:hideMark/>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Коммутационное помещение</w:t>
            </w:r>
          </w:p>
        </w:tc>
      </w:tr>
      <w:tr>
        <w:trPr>
          <w:trHeight w:val="300"/>
          <w:tblHeader/>
          <w:jc w:val="center"/>
        </w:trPr>
        <w:tc>
          <w:tcPr>
            <w:tcW w:w="1853" w:type="pct"/>
            <w:tcBorders>
              <w:top w:val="single" w:sz="12" w:space="0" w:color="auto"/>
              <w:left w:val="single" w:sz="12" w:space="0" w:color="auto"/>
              <w:bottom w:val="single" w:sz="12" w:space="0" w:color="auto"/>
              <w:right w:val="single" w:sz="6" w:space="0" w:color="auto"/>
            </w:tcBorders>
            <w:shd w:val="clear" w:color="auto" w:fill="FFD200"/>
            <w:vAlign w:val="center"/>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1</w:t>
            </w:r>
          </w:p>
        </w:tc>
        <w:tc>
          <w:tcPr>
            <w:tcW w:w="791" w:type="pct"/>
            <w:tcBorders>
              <w:top w:val="single" w:sz="12" w:space="0" w:color="auto"/>
              <w:left w:val="single" w:sz="6" w:space="0" w:color="auto"/>
              <w:bottom w:val="single" w:sz="12" w:space="0" w:color="auto"/>
              <w:right w:val="single" w:sz="6" w:space="0" w:color="auto"/>
            </w:tcBorders>
            <w:shd w:val="clear" w:color="auto" w:fill="FFD200"/>
            <w:vAlign w:val="center"/>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2</w:t>
            </w:r>
          </w:p>
        </w:tc>
        <w:tc>
          <w:tcPr>
            <w:tcW w:w="792" w:type="pct"/>
            <w:tcBorders>
              <w:top w:val="single" w:sz="12" w:space="0" w:color="auto"/>
              <w:left w:val="single" w:sz="6" w:space="0" w:color="auto"/>
              <w:bottom w:val="single" w:sz="12" w:space="0" w:color="auto"/>
              <w:right w:val="single" w:sz="6" w:space="0" w:color="auto"/>
            </w:tcBorders>
            <w:shd w:val="clear" w:color="auto" w:fill="FFD200"/>
            <w:vAlign w:val="center"/>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3</w:t>
            </w:r>
          </w:p>
        </w:tc>
        <w:tc>
          <w:tcPr>
            <w:tcW w:w="793" w:type="pct"/>
            <w:tcBorders>
              <w:top w:val="single" w:sz="12" w:space="0" w:color="auto"/>
              <w:left w:val="single" w:sz="6" w:space="0" w:color="auto"/>
              <w:bottom w:val="single" w:sz="12" w:space="0" w:color="auto"/>
              <w:right w:val="single" w:sz="6" w:space="0" w:color="auto"/>
            </w:tcBorders>
            <w:shd w:val="clear" w:color="auto" w:fill="FFD200"/>
            <w:vAlign w:val="center"/>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4</w:t>
            </w:r>
          </w:p>
        </w:tc>
        <w:tc>
          <w:tcPr>
            <w:tcW w:w="771" w:type="pct"/>
            <w:tcBorders>
              <w:top w:val="single" w:sz="12" w:space="0" w:color="auto"/>
              <w:left w:val="single" w:sz="6" w:space="0" w:color="auto"/>
              <w:bottom w:val="single" w:sz="12" w:space="0" w:color="auto"/>
              <w:right w:val="single" w:sz="12" w:space="0" w:color="auto"/>
            </w:tcBorders>
            <w:shd w:val="clear" w:color="auto" w:fill="FFD200"/>
            <w:vAlign w:val="center"/>
          </w:tcPr>
          <w:p>
            <w:pPr>
              <w:keepNext/>
              <w:jc w:val="center"/>
              <w:rPr>
                <w:rFonts w:ascii="Arial" w:eastAsia="Times New Roman" w:hAnsi="Arial" w:cs="Arial"/>
                <w:b/>
                <w:bCs/>
                <w:caps/>
                <w:color w:val="000000"/>
                <w:sz w:val="16"/>
                <w:szCs w:val="16"/>
                <w:lang w:eastAsia="ru-RU"/>
              </w:rPr>
            </w:pPr>
            <w:r>
              <w:rPr>
                <w:rFonts w:ascii="Arial" w:eastAsia="Times New Roman" w:hAnsi="Arial" w:cs="Arial"/>
                <w:b/>
                <w:bCs/>
                <w:caps/>
                <w:color w:val="000000"/>
                <w:sz w:val="16"/>
                <w:szCs w:val="16"/>
                <w:lang w:eastAsia="ru-RU"/>
              </w:rPr>
              <w:t>5</w:t>
            </w:r>
          </w:p>
        </w:tc>
      </w:tr>
      <w:tr>
        <w:trPr>
          <w:trHeight w:val="397"/>
          <w:jc w:val="center"/>
        </w:trPr>
        <w:tc>
          <w:tcPr>
            <w:tcW w:w="5000" w:type="pct"/>
            <w:gridSpan w:val="5"/>
            <w:tcBorders>
              <w:top w:val="single" w:sz="12" w:space="0" w:color="auto"/>
              <w:left w:val="single" w:sz="12" w:space="0" w:color="auto"/>
              <w:bottom w:val="single" w:sz="6" w:space="0" w:color="auto"/>
              <w:right w:val="single" w:sz="12" w:space="0" w:color="auto"/>
            </w:tcBorders>
            <w:shd w:val="clear" w:color="auto" w:fill="auto"/>
            <w:noWrap/>
            <w:hideMark/>
          </w:tcPr>
          <w:p>
            <w:pPr>
              <w:rPr>
                <w:rFonts w:eastAsia="Times New Roman"/>
                <w:bCs/>
                <w:color w:val="000000"/>
                <w:sz w:val="20"/>
                <w:szCs w:val="20"/>
                <w:lang w:eastAsia="ru-RU"/>
              </w:rPr>
            </w:pPr>
            <w:r>
              <w:rPr>
                <w:rFonts w:eastAsia="Times New Roman"/>
                <w:b/>
                <w:bCs/>
                <w:color w:val="000000"/>
                <w:sz w:val="20"/>
                <w:szCs w:val="20"/>
                <w:lang w:eastAsia="ru-RU"/>
              </w:rPr>
              <w:t>Архитектурно-строительные</w:t>
            </w:r>
          </w:p>
        </w:tc>
      </w:tr>
      <w:tr>
        <w:trPr>
          <w:trHeight w:val="3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Размещение помещений (отдельное здание или отдельный этаж)</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Необязательно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Необязательно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Необязательно</w:t>
            </w:r>
          </w:p>
        </w:tc>
      </w:tr>
      <w:tr>
        <w:trPr>
          <w:trHeight w:val="39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Запрет размещения в проходном помещении</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val="en-US"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val="en-US" w:eastAsia="ru-RU"/>
              </w:rPr>
            </w:pPr>
            <w:r>
              <w:rPr>
                <w:rFonts w:eastAsia="Times New Roman"/>
                <w:bCs/>
                <w:color w:val="000000"/>
                <w:sz w:val="20"/>
                <w:szCs w:val="20"/>
                <w:lang w:eastAsia="ru-RU"/>
              </w:rPr>
              <w:t>Обязательно</w:t>
            </w:r>
          </w:p>
        </w:tc>
      </w:tr>
      <w:tr>
        <w:trPr>
          <w:trHeight w:val="641"/>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Запрет на размещение в помещениях, в которых проходят трассы водоснабжения, отопления и газоснабжения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val="en-US"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val="en-US" w:eastAsia="ru-RU"/>
              </w:rPr>
            </w:pPr>
            <w:r>
              <w:rPr>
                <w:rFonts w:eastAsia="Times New Roman"/>
                <w:bCs/>
                <w:color w:val="000000"/>
                <w:sz w:val="20"/>
                <w:szCs w:val="20"/>
                <w:lang w:eastAsia="ru-RU"/>
              </w:rPr>
              <w:t>Обязательно</w:t>
            </w:r>
          </w:p>
        </w:tc>
      </w:tr>
      <w:tr>
        <w:trPr>
          <w:trHeight w:val="46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Запрет на размещение рядом со складами пожароопасных, химически агрессивных материалов и помещениями с «влажными» процессами</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r>
      <w:tr>
        <w:trPr>
          <w:trHeight w:val="39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Запрет на размещение в подвальных помещениях</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1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Стены, колонны и потолки выровнены беспористым бетоном</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9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Покрытие стен, колонн и потолков окрашено непылеобразующей краской</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182"/>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 xml:space="preserve">Отсутствие оконных проемов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Повышение физической безопасности помещений с оконными проемами</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50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 xml:space="preserve">Высота дверных проемов в серверное помещение не менее 2,0 м, ширина не менее 0,9 м.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Двери изготовлены из</w:t>
            </w:r>
            <w:r>
              <w:rPr>
                <w:sz w:val="20"/>
                <w:szCs w:val="20"/>
              </w:rPr>
              <w:t xml:space="preserve"> </w:t>
            </w:r>
            <w:r>
              <w:rPr>
                <w:rFonts w:eastAsia="Times New Roman"/>
                <w:color w:val="000000"/>
                <w:sz w:val="20"/>
                <w:szCs w:val="20"/>
                <w:lang w:eastAsia="ru-RU"/>
              </w:rPr>
              <w:t xml:space="preserve">трудносгораемого материала с пределом огнестойкости не менее 0,6 ч.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51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Двери открываются наружу с углом 180 гр. легкоснимаемые или со съемными приспособлениями</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98"/>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Прочность перекрытий/ фальшпола, кг/м</w:t>
            </w:r>
            <w:r>
              <w:rPr>
                <w:rFonts w:eastAsia="Times New Roman"/>
                <w:color w:val="000000"/>
                <w:sz w:val="20"/>
                <w:szCs w:val="20"/>
                <w:vertAlign w:val="superscript"/>
                <w:lang w:eastAsia="ru-RU"/>
              </w:rPr>
              <w:t>2</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1000</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1000</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800</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800</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Наличие фальшпола/фальшпотолка</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
                <w:bCs/>
                <w:color w:val="000000"/>
                <w:sz w:val="20"/>
                <w:szCs w:val="20"/>
                <w:lang w:eastAsia="ru-RU"/>
              </w:rPr>
              <w:t>К организации инженерных систем</w:t>
            </w:r>
          </w:p>
        </w:tc>
      </w:tr>
      <w:tr>
        <w:trPr>
          <w:trHeight w:val="59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 xml:space="preserve">Инженерная система без резервирования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bCs/>
                <w:color w:val="000000"/>
                <w:sz w:val="20"/>
                <w:szCs w:val="20"/>
                <w:lang w:eastAsia="ru-RU"/>
              </w:rPr>
              <w:t>Определяется оборудованием</w:t>
            </w:r>
          </w:p>
        </w:tc>
      </w:tr>
      <w:tr>
        <w:trPr>
          <w:trHeight w:val="923"/>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И</w:t>
            </w:r>
            <w:r>
              <w:rPr>
                <w:rFonts w:eastAsia="Times New Roman"/>
                <w:bCs/>
                <w:color w:val="000000"/>
                <w:sz w:val="20"/>
                <w:szCs w:val="20"/>
                <w:lang w:eastAsia="ru-RU"/>
              </w:rPr>
              <w:t>нженерная система</w:t>
            </w:r>
            <w:r>
              <w:rPr>
                <w:rFonts w:eastAsia="Times New Roman"/>
                <w:color w:val="000000"/>
                <w:sz w:val="20"/>
                <w:szCs w:val="20"/>
                <w:lang w:eastAsia="ru-RU"/>
              </w:rPr>
              <w:t xml:space="preserve"> с резервированием подсистем по схеме +1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color w:val="000000"/>
                <w:sz w:val="20"/>
                <w:szCs w:val="20"/>
                <w:lang w:eastAsia="ru-RU"/>
              </w:rPr>
              <w:t>Необязательно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color w:val="000000"/>
                <w:sz w:val="20"/>
                <w:szCs w:val="20"/>
                <w:lang w:eastAsia="ru-RU"/>
              </w:rPr>
              <w:t>Необязательно</w:t>
            </w:r>
          </w:p>
        </w:tc>
      </w:tr>
      <w:tr>
        <w:trPr>
          <w:trHeight w:val="68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И</w:t>
            </w:r>
            <w:r>
              <w:rPr>
                <w:rFonts w:eastAsia="Times New Roman"/>
                <w:bCs/>
                <w:color w:val="000000"/>
                <w:sz w:val="20"/>
                <w:szCs w:val="20"/>
                <w:lang w:eastAsia="ru-RU"/>
              </w:rPr>
              <w:t>нженерная система</w:t>
            </w:r>
            <w:r>
              <w:rPr>
                <w:rFonts w:eastAsia="Times New Roman"/>
                <w:color w:val="000000"/>
                <w:sz w:val="20"/>
                <w:szCs w:val="20"/>
                <w:lang w:eastAsia="ru-RU"/>
              </w:rPr>
              <w:t xml:space="preserve"> с резервированием подсистем по схеме 2 </w:t>
            </w:r>
            <w:r>
              <w:rPr>
                <w:rFonts w:eastAsia="Times New Roman"/>
                <w:bCs/>
                <w:color w:val="000000"/>
                <w:sz w:val="20"/>
                <w:szCs w:val="20"/>
                <w:lang w:eastAsia="ru-RU"/>
              </w:rPr>
              <w:t xml:space="preserve">× </w:t>
            </w:r>
            <w:r>
              <w:rPr>
                <w:rFonts w:eastAsia="Times New Roman"/>
                <w:color w:val="000000"/>
                <w:sz w:val="20"/>
                <w:szCs w:val="20"/>
                <w:lang w:eastAsia="ru-RU"/>
              </w:rPr>
              <w:t xml:space="preserve">(параллельная схема ИС, обслуживание без остановки сервисов)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val="en-US" w:eastAsia="ru-RU"/>
              </w:rPr>
            </w:pPr>
            <w:r>
              <w:rPr>
                <w:rFonts w:eastAsia="Times New Roman"/>
                <w:color w:val="000000"/>
                <w:sz w:val="20"/>
                <w:szCs w:val="20"/>
                <w:lang w:eastAsia="ru-RU"/>
              </w:rPr>
              <w:t>Необязательно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color w:val="000000"/>
                <w:sz w:val="20"/>
                <w:szCs w:val="20"/>
                <w:lang w:eastAsia="ru-RU"/>
              </w:rPr>
              <w:t>Необязательно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Доступность инженерных систем</w:t>
            </w:r>
            <w:r>
              <w:rPr>
                <w:rFonts w:eastAsia="Times New Roman"/>
                <w:color w:val="000000"/>
                <w:sz w:val="20"/>
                <w:szCs w:val="20"/>
                <w:lang w:eastAsia="ru-RU"/>
              </w:rPr>
              <w:br/>
              <w:t xml:space="preserve">(Ч </w:t>
            </w:r>
            <w:r>
              <w:rPr>
                <w:rFonts w:eastAsia="Times New Roman"/>
                <w:bCs/>
                <w:color w:val="000000"/>
                <w:sz w:val="20"/>
                <w:szCs w:val="20"/>
                <w:lang w:eastAsia="ru-RU"/>
              </w:rPr>
              <w:t>×</w:t>
            </w:r>
            <w:r>
              <w:rPr>
                <w:rFonts w:eastAsia="Times New Roman"/>
                <w:color w:val="000000"/>
                <w:sz w:val="20"/>
                <w:szCs w:val="20"/>
                <w:lang w:eastAsia="ru-RU"/>
              </w:rPr>
              <w:t xml:space="preserve"> Д)</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24 × 7</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24 × 7</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val="en-US" w:eastAsia="ru-RU"/>
              </w:rPr>
              <w:t>24</w:t>
            </w:r>
            <w:r>
              <w:rPr>
                <w:rFonts w:eastAsia="Times New Roman"/>
                <w:bCs/>
                <w:color w:val="000000"/>
                <w:sz w:val="20"/>
                <w:szCs w:val="20"/>
                <w:lang w:eastAsia="ru-RU"/>
              </w:rPr>
              <w:t xml:space="preserve"> × </w:t>
            </w:r>
            <w:r>
              <w:rPr>
                <w:rFonts w:eastAsia="Times New Roman"/>
                <w:bCs/>
                <w:color w:val="000000"/>
                <w:sz w:val="20"/>
                <w:szCs w:val="20"/>
                <w:lang w:val="en-US" w:eastAsia="ru-RU"/>
              </w:rPr>
              <w:t>7</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8 × 5</w:t>
            </w:r>
          </w:p>
        </w:tc>
      </w:tr>
      <w:tr>
        <w:trPr>
          <w:trHeight w:val="10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lastRenderedPageBreak/>
              <w:t xml:space="preserve">Время ежегодных простоев инженерных систем (не более, часов)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1,6</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22,0</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28,8</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Определяется оборудованием</w:t>
            </w:r>
          </w:p>
        </w:tc>
      </w:tr>
      <w:tr>
        <w:trPr>
          <w:trHeight w:val="358"/>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Уровень годовой доступности инженерных систем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99,9%</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99,7%</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99,6%</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bCs/>
                <w:color w:val="000000"/>
                <w:sz w:val="20"/>
                <w:szCs w:val="20"/>
                <w:lang w:eastAsia="ru-RU"/>
              </w:rPr>
            </w:pPr>
            <w:r>
              <w:rPr>
                <w:rFonts w:eastAsia="Times New Roman"/>
                <w:bCs/>
                <w:color w:val="000000"/>
                <w:sz w:val="20"/>
                <w:szCs w:val="20"/>
                <w:lang w:eastAsia="ru-RU"/>
              </w:rPr>
              <w:t>Определяется оборудованием</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Наличие документации на оборудование инженерных систем</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sz w:val="20"/>
                <w:szCs w:val="20"/>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r>
      <w:tr>
        <w:trPr>
          <w:trHeight w:val="432"/>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Наличие действующих договоров на эксплуатацию и техническое сопровождение инженерных систем</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sz w:val="20"/>
                <w:szCs w:val="20"/>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r>
      <w:tr>
        <w:trPr>
          <w:trHeight w:val="158"/>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Наличие подразделения по эксплуатации инженерных систем</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eastAsia="ru-RU"/>
              </w:rPr>
            </w:pPr>
            <w:r>
              <w:rPr>
                <w:rFonts w:eastAsia="Times New Roman"/>
                <w:color w:val="000000"/>
                <w:sz w:val="20"/>
                <w:szCs w:val="20"/>
                <w:lang w:eastAsia="ru-RU"/>
              </w:rPr>
              <w:t>Необязательно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bCs/>
                <w:color w:val="000000"/>
                <w:sz w:val="20"/>
                <w:szCs w:val="20"/>
                <w:lang w:val="en-US" w:eastAsia="ru-RU"/>
              </w:rPr>
            </w:pPr>
            <w:r>
              <w:rPr>
                <w:rFonts w:eastAsia="Times New Roman"/>
                <w:color w:val="000000"/>
                <w:sz w:val="20"/>
                <w:szCs w:val="20"/>
                <w:lang w:eastAsia="ru-RU"/>
              </w:rPr>
              <w:t>Необязательно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color w:val="000000"/>
                <w:sz w:val="20"/>
                <w:szCs w:val="20"/>
                <w:lang w:eastAsia="ru-RU"/>
              </w:rPr>
              <w:t>Необязательно</w:t>
            </w:r>
          </w:p>
        </w:tc>
      </w:tr>
      <w:tr>
        <w:trPr>
          <w:trHeight w:val="65"/>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noWrap/>
            <w:hideMark/>
          </w:tcPr>
          <w:p>
            <w:pPr>
              <w:rPr>
                <w:rFonts w:eastAsia="Times New Roman"/>
                <w:b/>
                <w:color w:val="000000"/>
                <w:sz w:val="20"/>
                <w:szCs w:val="20"/>
                <w:lang w:eastAsia="ru-RU"/>
              </w:rPr>
            </w:pPr>
            <w:r>
              <w:rPr>
                <w:rFonts w:eastAsia="Times New Roman"/>
                <w:b/>
                <w:bCs/>
                <w:color w:val="000000"/>
                <w:sz w:val="20"/>
                <w:szCs w:val="20"/>
                <w:lang w:eastAsia="ru-RU"/>
              </w:rPr>
              <w:t>К СЭ, освещения и заземления</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Наличие схемы электропитания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sz w:val="20"/>
                <w:szCs w:val="20"/>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sz w:val="20"/>
                <w:szCs w:val="20"/>
              </w:rPr>
            </w:pPr>
            <w:r>
              <w:rPr>
                <w:rFonts w:eastAsia="Times New Roman"/>
                <w:bCs/>
                <w:color w:val="000000"/>
                <w:sz w:val="20"/>
                <w:szCs w:val="20"/>
                <w:lang w:eastAsia="ru-RU"/>
              </w:rPr>
              <w:t>Обязательно</w:t>
            </w:r>
          </w:p>
        </w:tc>
      </w:tr>
      <w:tr>
        <w:trPr>
          <w:trHeight w:val="186"/>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 xml:space="preserve">Наличие отдельного помещения электроснабжения здания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w:t>
            </w:r>
          </w:p>
        </w:tc>
      </w:tr>
      <w:tr>
        <w:trPr>
          <w:trHeight w:val="278"/>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1-ая категория электроснабжения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w:t>
            </w:r>
          </w:p>
        </w:tc>
        <w:tc>
          <w:tcPr>
            <w:tcW w:w="771" w:type="pct"/>
            <w:tcBorders>
              <w:top w:val="single" w:sz="6" w:space="0" w:color="auto"/>
              <w:left w:val="single" w:sz="6" w:space="0" w:color="auto"/>
              <w:bottom w:val="single" w:sz="6" w:space="0" w:color="auto"/>
              <w:right w:val="single" w:sz="12"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w:t>
            </w:r>
          </w:p>
        </w:tc>
      </w:tr>
      <w:tr>
        <w:trPr>
          <w:trHeight w:val="26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 xml:space="preserve">Наличие 2-го ввода электропитания, который может обеспечить потребности оборудования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27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независимого автономного источника электропитания – ДГУ</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213"/>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 xml:space="preserve">Запас топлива для работы независимого ДГУ, часов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8 час</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r>
      <w:tr>
        <w:trPr>
          <w:trHeight w:val="16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АВР между основными и резервными источниками электропитания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45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системы бесперебойного питания с параллельной архитектурой (ИБП с технологией O</w:t>
            </w:r>
            <w:r>
              <w:rPr>
                <w:rFonts w:eastAsia="Times New Roman"/>
                <w:color w:val="000000"/>
                <w:sz w:val="20"/>
                <w:szCs w:val="20"/>
                <w:lang w:val="en-US" w:eastAsia="ru-RU"/>
              </w:rPr>
              <w:t>n</w:t>
            </w:r>
            <w:r>
              <w:rPr>
                <w:rFonts w:eastAsia="Times New Roman"/>
                <w:color w:val="000000"/>
                <w:sz w:val="20"/>
                <w:szCs w:val="20"/>
                <w:lang w:eastAsia="ru-RU"/>
              </w:rPr>
              <w:t>-li</w:t>
            </w:r>
            <w:r>
              <w:rPr>
                <w:rFonts w:eastAsia="Times New Roman"/>
                <w:color w:val="000000"/>
                <w:sz w:val="20"/>
                <w:szCs w:val="20"/>
                <w:lang w:val="en-US" w:eastAsia="ru-RU"/>
              </w:rPr>
              <w:t>n</w:t>
            </w:r>
            <w:r>
              <w:rPr>
                <w:rFonts w:eastAsia="Times New Roman"/>
                <w:color w:val="000000"/>
                <w:sz w:val="20"/>
                <w:szCs w:val="20"/>
                <w:lang w:eastAsia="ru-RU"/>
              </w:rPr>
              <w:t>e)</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О</w:t>
            </w:r>
            <w:r>
              <w:rPr>
                <w:rFonts w:eastAsia="Times New Roman"/>
                <w:bCs/>
                <w:color w:val="000000"/>
                <w:sz w:val="20"/>
                <w:szCs w:val="20"/>
                <w:lang w:eastAsia="ru-RU"/>
              </w:rPr>
              <w:t>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источников бесперебойного питания для электроснабжения оборудования с технологией O</w:t>
            </w:r>
            <w:r>
              <w:rPr>
                <w:rFonts w:eastAsia="Times New Roman"/>
                <w:color w:val="000000"/>
                <w:sz w:val="20"/>
                <w:szCs w:val="20"/>
                <w:lang w:val="en-US" w:eastAsia="ru-RU"/>
              </w:rPr>
              <w:t>n</w:t>
            </w:r>
            <w:r>
              <w:rPr>
                <w:rFonts w:eastAsia="Times New Roman"/>
                <w:color w:val="000000"/>
                <w:sz w:val="20"/>
                <w:szCs w:val="20"/>
                <w:lang w:eastAsia="ru-RU"/>
              </w:rPr>
              <w:t>-li</w:t>
            </w:r>
            <w:r>
              <w:rPr>
                <w:rFonts w:eastAsia="Times New Roman"/>
                <w:color w:val="000000"/>
                <w:sz w:val="20"/>
                <w:szCs w:val="20"/>
                <w:lang w:val="en-US" w:eastAsia="ru-RU"/>
              </w:rPr>
              <w:t>n</w:t>
            </w:r>
            <w:r>
              <w:rPr>
                <w:rFonts w:eastAsia="Times New Roman"/>
                <w:color w:val="000000"/>
                <w:sz w:val="20"/>
                <w:szCs w:val="20"/>
                <w:lang w:eastAsia="ru-RU"/>
              </w:rPr>
              <w:t>e</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Время автономной работы ИБП, не менее</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2 час</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1 час</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r>
      <w:tr>
        <w:trPr>
          <w:trHeight w:val="25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 xml:space="preserve">Наличие системы мониторинга ИБП и контроля параметров среды через </w:t>
            </w:r>
            <w:r>
              <w:rPr>
                <w:rFonts w:eastAsia="Times New Roman"/>
                <w:color w:val="000000"/>
                <w:sz w:val="20"/>
                <w:szCs w:val="20"/>
                <w:lang w:val="en-US" w:eastAsia="ru-RU"/>
              </w:rPr>
              <w:t>Ethern</w:t>
            </w:r>
            <w:r>
              <w:rPr>
                <w:rFonts w:eastAsia="Times New Roman"/>
                <w:color w:val="000000"/>
                <w:sz w:val="20"/>
                <w:szCs w:val="20"/>
                <w:lang w:eastAsia="ru-RU"/>
              </w:rPr>
              <w:t>et-решения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566"/>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системы защитного заземления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246"/>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системы рабочего заземления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26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Наличие системы уравнивания потенциалов</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c>
          <w:tcPr>
            <w:tcW w:w="771" w:type="pct"/>
            <w:tcBorders>
              <w:top w:val="single" w:sz="6" w:space="0" w:color="auto"/>
              <w:left w:val="single" w:sz="6" w:space="0" w:color="auto"/>
              <w:bottom w:val="single" w:sz="6" w:space="0" w:color="auto"/>
              <w:right w:val="single" w:sz="12"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w:t>
            </w:r>
          </w:p>
        </w:tc>
      </w:tr>
      <w:tr>
        <w:trPr>
          <w:trHeight w:val="65"/>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b/>
                <w:bCs/>
                <w:color w:val="000000"/>
                <w:sz w:val="20"/>
                <w:szCs w:val="20"/>
                <w:lang w:eastAsia="ru-RU"/>
              </w:rPr>
              <w:t>К системе обеспечения микроклимата</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 xml:space="preserve">Наличие принудительной вентиляции в помещении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63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Наличие кондиционеров и/или системы кондиционеров, обеспечивающих отвод выделяемого тепла в помещении</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347"/>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 xml:space="preserve">Наличие системы кондиционирования с резервированием 2 </w:t>
            </w:r>
            <w:r>
              <w:rPr>
                <w:rFonts w:eastAsia="Times New Roman"/>
                <w:bCs/>
                <w:color w:val="000000"/>
                <w:sz w:val="20"/>
                <w:szCs w:val="20"/>
                <w:lang w:eastAsia="ru-RU"/>
              </w:rPr>
              <w:t xml:space="preserve">×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439"/>
          <w:jc w:val="center"/>
        </w:trPr>
        <w:tc>
          <w:tcPr>
            <w:tcW w:w="1853" w:type="pct"/>
            <w:tcBorders>
              <w:top w:val="single" w:sz="6" w:space="0" w:color="auto"/>
              <w:left w:val="single" w:sz="12"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Наличие системы кондиционирования с резервированием +1</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lastRenderedPageBreak/>
              <w:t xml:space="preserve">Наличие </w:t>
            </w:r>
            <w:r>
              <w:rPr>
                <w:rFonts w:eastAsia="Times New Roman"/>
                <w:color w:val="000000"/>
                <w:sz w:val="20"/>
                <w:szCs w:val="20"/>
                <w:lang w:val="en-US" w:eastAsia="ru-RU"/>
              </w:rPr>
              <w:t>Ethernet</w:t>
            </w:r>
            <w:r>
              <w:rPr>
                <w:rFonts w:eastAsia="Times New Roman"/>
                <w:color w:val="000000"/>
                <w:sz w:val="20"/>
                <w:szCs w:val="20"/>
                <w:lang w:eastAsia="ru-RU"/>
              </w:rPr>
              <w:t xml:space="preserve">-решения для контроля параметров окружающей среды в помещении </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 xml:space="preserve">Электропитание системы кондиционирования подключено к системе гарантированного электроснабжения </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hideMark/>
          </w:tcPr>
          <w:p>
            <w:pPr>
              <w:rPr>
                <w:rFonts w:eastAsia="Times New Roman"/>
                <w:b/>
                <w:bCs/>
                <w:color w:val="000000"/>
                <w:sz w:val="20"/>
                <w:szCs w:val="20"/>
                <w:lang w:eastAsia="ru-RU"/>
              </w:rPr>
            </w:pPr>
            <w:r>
              <w:rPr>
                <w:rFonts w:eastAsia="Times New Roman"/>
                <w:b/>
                <w:bCs/>
                <w:color w:val="000000"/>
                <w:sz w:val="20"/>
                <w:szCs w:val="20"/>
                <w:lang w:eastAsia="ru-RU"/>
              </w:rPr>
              <w:t>К системе безопасности</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контроля и управления доступом</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охранной сигнализации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охранная телевизионная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пожарной сигнализации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b/>
                <w:bCs/>
                <w:color w:val="000000"/>
                <w:sz w:val="20"/>
                <w:szCs w:val="20"/>
                <w:lang w:eastAsia="ru-RU"/>
              </w:rPr>
            </w:pPr>
            <w:r>
              <w:rPr>
                <w:rFonts w:eastAsia="Times New Roman"/>
                <w:color w:val="000000"/>
                <w:sz w:val="20"/>
                <w:szCs w:val="20"/>
                <w:lang w:eastAsia="ru-RU"/>
              </w:rPr>
              <w:t>Автономность систем пожарной безопасности серверной и здания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keepNext/>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Наличие автоматической установки пожаротушения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bCs/>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keepNext/>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keepNext/>
              <w:rPr>
                <w:rFonts w:eastAsia="Times New Roman"/>
                <w:bCs/>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газового пожаротушения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178"/>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Подсистема газо-и дымоудаления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112"/>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
                <w:bCs/>
                <w:color w:val="000000"/>
                <w:sz w:val="20"/>
                <w:szCs w:val="20"/>
                <w:lang w:eastAsia="ru-RU"/>
              </w:rPr>
              <w:t>К мониторингу и управлению</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Мониторинг оборудования систем электросвязи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Мониторинг оборудования инженерных систем</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Система управления</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Централизованная система мониторинга и управления безопасностью</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noWrap/>
            <w:hideMark/>
          </w:tcPr>
          <w:p>
            <w:pPr>
              <w:rPr>
                <w:rFonts w:eastAsia="Times New Roman"/>
                <w:b/>
                <w:bCs/>
                <w:color w:val="000000"/>
                <w:sz w:val="20"/>
                <w:szCs w:val="20"/>
                <w:lang w:eastAsia="ru-RU"/>
              </w:rPr>
            </w:pPr>
            <w:r>
              <w:rPr>
                <w:rFonts w:eastAsia="Times New Roman"/>
                <w:b/>
                <w:bCs/>
                <w:color w:val="000000"/>
                <w:sz w:val="20"/>
                <w:szCs w:val="20"/>
                <w:lang w:eastAsia="ru-RU"/>
              </w:rPr>
              <w:t>К коммуникационным кабелям</w:t>
            </w:r>
          </w:p>
        </w:tc>
      </w:tr>
      <w:tr>
        <w:trPr>
          <w:trHeight w:val="24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Наличие кабельной канализации для 2-х независимых вводов внешних каналов связи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9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Наличие 30% резерва в кабельной канализации ввода внешних каналов связи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340"/>
          <w:jc w:val="center"/>
        </w:trPr>
        <w:tc>
          <w:tcPr>
            <w:tcW w:w="1853" w:type="pct"/>
            <w:tcBorders>
              <w:top w:val="single" w:sz="6" w:space="0" w:color="auto"/>
              <w:left w:val="single" w:sz="12" w:space="0" w:color="auto"/>
              <w:bottom w:val="single" w:sz="6" w:space="0" w:color="auto"/>
              <w:right w:val="single" w:sz="6" w:space="0" w:color="auto"/>
            </w:tcBorders>
            <w:shd w:val="clear" w:color="auto" w:fill="auto"/>
            <w:hideMark/>
          </w:tcPr>
          <w:p>
            <w:pPr>
              <w:rPr>
                <w:rFonts w:eastAsia="Times New Roman"/>
                <w:color w:val="000000"/>
                <w:sz w:val="20"/>
                <w:szCs w:val="20"/>
                <w:lang w:eastAsia="ru-RU"/>
              </w:rPr>
            </w:pPr>
            <w:r>
              <w:rPr>
                <w:rFonts w:eastAsia="Times New Roman"/>
                <w:color w:val="000000"/>
                <w:sz w:val="20"/>
                <w:szCs w:val="20"/>
                <w:lang w:eastAsia="ru-RU"/>
              </w:rPr>
              <w:t>Организация рабочего места для провайдеров связи</w:t>
            </w:r>
          </w:p>
        </w:tc>
        <w:tc>
          <w:tcPr>
            <w:tcW w:w="791"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2"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bCs/>
                <w:color w:val="000000"/>
                <w:sz w:val="20"/>
                <w:szCs w:val="20"/>
                <w:lang w:eastAsia="ru-RU"/>
              </w:rPr>
              <w:t>Обязательно</w:t>
            </w:r>
          </w:p>
        </w:tc>
        <w:tc>
          <w:tcPr>
            <w:tcW w:w="793" w:type="pct"/>
            <w:tcBorders>
              <w:top w:val="single" w:sz="6" w:space="0" w:color="auto"/>
              <w:left w:val="single" w:sz="6" w:space="0" w:color="auto"/>
              <w:bottom w:val="single" w:sz="6" w:space="0" w:color="auto"/>
              <w:right w:val="single" w:sz="6"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c>
          <w:tcPr>
            <w:tcW w:w="771" w:type="pct"/>
            <w:tcBorders>
              <w:top w:val="single" w:sz="6" w:space="0" w:color="auto"/>
              <w:left w:val="single" w:sz="6" w:space="0" w:color="auto"/>
              <w:bottom w:val="single" w:sz="6" w:space="0" w:color="auto"/>
              <w:right w:val="single" w:sz="12" w:space="0" w:color="auto"/>
            </w:tcBorders>
            <w:shd w:val="clear" w:color="auto" w:fill="auto"/>
            <w:noWrap/>
            <w:hideMark/>
          </w:tcPr>
          <w:p>
            <w:pPr>
              <w:rPr>
                <w:rFonts w:eastAsia="Times New Roman"/>
                <w:color w:val="000000"/>
                <w:sz w:val="20"/>
                <w:szCs w:val="20"/>
                <w:lang w:eastAsia="ru-RU"/>
              </w:rPr>
            </w:pPr>
            <w:r>
              <w:rPr>
                <w:rFonts w:eastAsia="Times New Roman"/>
                <w:color w:val="000000"/>
                <w:sz w:val="20"/>
                <w:szCs w:val="20"/>
                <w:lang w:eastAsia="ru-RU"/>
              </w:rPr>
              <w:t>Не</w:t>
            </w:r>
            <w:r>
              <w:rPr>
                <w:rFonts w:eastAsia="Times New Roman"/>
                <w:bCs/>
                <w:color w:val="000000"/>
                <w:sz w:val="20"/>
                <w:szCs w:val="20"/>
                <w:lang w:eastAsia="ru-RU"/>
              </w:rPr>
              <w:t>обязательно</w:t>
            </w:r>
          </w:p>
        </w:tc>
      </w:tr>
      <w:tr>
        <w:trPr>
          <w:trHeight w:val="65"/>
          <w:jc w:val="center"/>
        </w:trPr>
        <w:tc>
          <w:tcPr>
            <w:tcW w:w="1853" w:type="pct"/>
            <w:tcBorders>
              <w:top w:val="single" w:sz="6" w:space="0" w:color="auto"/>
              <w:left w:val="single" w:sz="12"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Медная СКС в помещении, не хуже</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6А</w:t>
            </w:r>
          </w:p>
        </w:tc>
        <w:tc>
          <w:tcPr>
            <w:tcW w:w="792"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6</w:t>
            </w:r>
          </w:p>
        </w:tc>
        <w:tc>
          <w:tcPr>
            <w:tcW w:w="793"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5Е</w:t>
            </w:r>
          </w:p>
        </w:tc>
        <w:tc>
          <w:tcPr>
            <w:tcW w:w="771" w:type="pct"/>
            <w:tcBorders>
              <w:top w:val="single" w:sz="6" w:space="0" w:color="auto"/>
              <w:left w:val="single" w:sz="6"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5Е</w:t>
            </w:r>
          </w:p>
        </w:tc>
      </w:tr>
      <w:tr>
        <w:trPr>
          <w:trHeight w:val="134"/>
          <w:jc w:val="center"/>
        </w:trPr>
        <w:tc>
          <w:tcPr>
            <w:tcW w:w="1853" w:type="pct"/>
            <w:tcBorders>
              <w:top w:val="single" w:sz="6" w:space="0" w:color="auto"/>
              <w:left w:val="single" w:sz="12" w:space="0" w:color="auto"/>
              <w:bottom w:val="single" w:sz="6" w:space="0" w:color="auto"/>
              <w:right w:val="single" w:sz="6" w:space="0" w:color="auto"/>
            </w:tcBorders>
            <w:shd w:val="clear" w:color="auto" w:fill="auto"/>
          </w:tcPr>
          <w:p>
            <w:pPr>
              <w:rPr>
                <w:rFonts w:eastAsia="Times New Roman"/>
                <w:color w:val="000000"/>
                <w:sz w:val="20"/>
                <w:szCs w:val="20"/>
                <w:lang w:eastAsia="ru-RU"/>
              </w:rPr>
            </w:pPr>
            <w:r>
              <w:rPr>
                <w:rFonts w:eastAsia="Times New Roman"/>
                <w:color w:val="000000"/>
                <w:sz w:val="20"/>
                <w:szCs w:val="20"/>
                <w:lang w:eastAsia="ru-RU"/>
              </w:rPr>
              <w:t>Оптоволоконная СКС в помещении, не хуже</w:t>
            </w:r>
          </w:p>
        </w:tc>
        <w:tc>
          <w:tcPr>
            <w:tcW w:w="791"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ОМ4</w:t>
            </w:r>
          </w:p>
        </w:tc>
        <w:tc>
          <w:tcPr>
            <w:tcW w:w="792"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bCs/>
                <w:color w:val="000000"/>
                <w:sz w:val="20"/>
                <w:szCs w:val="20"/>
                <w:lang w:eastAsia="ru-RU"/>
              </w:rPr>
            </w:pPr>
            <w:r>
              <w:rPr>
                <w:rFonts w:eastAsia="Times New Roman"/>
                <w:bCs/>
                <w:color w:val="000000"/>
                <w:sz w:val="20"/>
                <w:szCs w:val="20"/>
                <w:lang w:eastAsia="ru-RU"/>
              </w:rPr>
              <w:t>ОМ3</w:t>
            </w:r>
          </w:p>
        </w:tc>
        <w:tc>
          <w:tcPr>
            <w:tcW w:w="793" w:type="pct"/>
            <w:tcBorders>
              <w:top w:val="single" w:sz="6" w:space="0" w:color="auto"/>
              <w:left w:val="single" w:sz="6" w:space="0" w:color="auto"/>
              <w:bottom w:val="single" w:sz="6" w:space="0" w:color="auto"/>
              <w:right w:val="single" w:sz="6"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ОМ3</w:t>
            </w:r>
          </w:p>
        </w:tc>
        <w:tc>
          <w:tcPr>
            <w:tcW w:w="771" w:type="pct"/>
            <w:tcBorders>
              <w:top w:val="single" w:sz="6" w:space="0" w:color="auto"/>
              <w:left w:val="single" w:sz="6" w:space="0" w:color="auto"/>
              <w:bottom w:val="single" w:sz="6" w:space="0" w:color="auto"/>
              <w:right w:val="single" w:sz="12" w:space="0" w:color="auto"/>
            </w:tcBorders>
            <w:shd w:val="clear" w:color="auto" w:fill="auto"/>
            <w:noWrap/>
          </w:tcPr>
          <w:p>
            <w:pPr>
              <w:rPr>
                <w:rFonts w:eastAsia="Times New Roman"/>
                <w:color w:val="000000"/>
                <w:sz w:val="20"/>
                <w:szCs w:val="20"/>
                <w:lang w:eastAsia="ru-RU"/>
              </w:rPr>
            </w:pPr>
            <w:r>
              <w:rPr>
                <w:rFonts w:eastAsia="Times New Roman"/>
                <w:color w:val="000000"/>
                <w:sz w:val="20"/>
                <w:szCs w:val="20"/>
                <w:lang w:eastAsia="ru-RU"/>
              </w:rPr>
              <w:t>ОМ3</w:t>
            </w:r>
          </w:p>
        </w:tc>
      </w:tr>
      <w:tr>
        <w:trPr>
          <w:trHeight w:val="287"/>
          <w:jc w:val="center"/>
        </w:trPr>
        <w:tc>
          <w:tcPr>
            <w:tcW w:w="5000" w:type="pct"/>
            <w:gridSpan w:val="5"/>
            <w:tcBorders>
              <w:top w:val="single" w:sz="6" w:space="0" w:color="auto"/>
              <w:left w:val="single" w:sz="12" w:space="0" w:color="auto"/>
              <w:bottom w:val="single" w:sz="6" w:space="0" w:color="auto"/>
              <w:right w:val="single" w:sz="12" w:space="0" w:color="auto"/>
            </w:tcBorders>
            <w:shd w:val="clear" w:color="auto" w:fill="auto"/>
          </w:tcPr>
          <w:p>
            <w:pPr>
              <w:rPr>
                <w:rFonts w:eastAsia="Times New Roman"/>
                <w:b/>
                <w:bCs/>
                <w:color w:val="000000"/>
                <w:sz w:val="20"/>
                <w:szCs w:val="20"/>
                <w:lang w:eastAsia="ru-RU"/>
              </w:rPr>
            </w:pPr>
            <w:r>
              <w:rPr>
                <w:rFonts w:eastAsia="Times New Roman"/>
                <w:b/>
                <w:bCs/>
                <w:color w:val="000000"/>
                <w:sz w:val="20"/>
                <w:szCs w:val="20"/>
                <w:lang w:eastAsia="ru-RU"/>
              </w:rPr>
              <w:t>Ссылки на документы</w:t>
            </w:r>
          </w:p>
        </w:tc>
      </w:tr>
      <w:tr>
        <w:trPr>
          <w:trHeight w:val="528"/>
          <w:jc w:val="center"/>
        </w:trPr>
        <w:tc>
          <w:tcPr>
            <w:tcW w:w="5000" w:type="pct"/>
            <w:gridSpan w:val="5"/>
            <w:tcBorders>
              <w:top w:val="single" w:sz="6" w:space="0" w:color="auto"/>
              <w:left w:val="single" w:sz="12" w:space="0" w:color="auto"/>
              <w:bottom w:val="single" w:sz="12" w:space="0" w:color="auto"/>
              <w:right w:val="single" w:sz="12" w:space="0" w:color="auto"/>
            </w:tcBorders>
            <w:shd w:val="clear" w:color="auto" w:fill="auto"/>
          </w:tcPr>
          <w:p>
            <w:pPr>
              <w:jc w:val="center"/>
              <w:rPr>
                <w:rFonts w:eastAsia="Times New Roman"/>
                <w:color w:val="000000"/>
                <w:sz w:val="20"/>
                <w:szCs w:val="20"/>
                <w:lang w:eastAsia="ru-RU"/>
              </w:rPr>
            </w:pPr>
            <w:r>
              <w:rPr>
                <w:rFonts w:eastAsia="Times New Roman"/>
                <w:color w:val="000000"/>
                <w:sz w:val="20"/>
                <w:szCs w:val="20"/>
                <w:lang w:eastAsia="ru-RU"/>
              </w:rPr>
              <w:t>СН 512, ГОСТ Р 53246, РД 45.120 (НТП 112), ISO/IEC 11801, ISO/IEC 18010, СП 52.13330 (СНиП 23-05),</w:t>
            </w:r>
            <w:r>
              <w:rPr>
                <w:rFonts w:eastAsia="Times New Roman"/>
                <w:color w:val="000000"/>
                <w:sz w:val="20"/>
                <w:szCs w:val="20"/>
                <w:lang w:eastAsia="ru-RU"/>
              </w:rPr>
              <w:br/>
              <w:t>ВСН 45.122, ГОСТ 28601.1, ГОСТ 28601.2, ГОСТ Р МЭК 60715, ГОСТ Р 54429, ГОСТ Р 53245, ASI/TIA 942, ASI/TIA/EIA-568-B (CSA T520), ASI/TIA/EIA-606-A (CSA T528), СП 7.13130, СНиП II-12, СНиП 31-03,</w:t>
            </w:r>
            <w:r>
              <w:rPr>
                <w:rFonts w:eastAsia="Times New Roman"/>
                <w:color w:val="000000"/>
                <w:sz w:val="20"/>
                <w:szCs w:val="20"/>
                <w:lang w:eastAsia="ru-RU"/>
              </w:rPr>
              <w:br/>
              <w:t>СП 60.13330, РД 78.145, СНиП 21-01, СНиП 2.01.07, ГОСТ Р 50648 (МЭК 1000-4-8)</w:t>
            </w:r>
          </w:p>
        </w:tc>
      </w:tr>
    </w:tbl>
    <w:p>
      <w:pPr>
        <w:pStyle w:val="S4"/>
      </w:pPr>
      <w:bookmarkStart w:id="192" w:name="_приложение_4._Основные"/>
      <w:bookmarkEnd w:id="192"/>
    </w:p>
    <w:sectPr>
      <w:pgSz w:w="11906" w:h="16838" w:code="9"/>
      <w:pgMar w:top="510" w:right="1021" w:bottom="567"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2000505040000020004"/>
    <w:charset w:val="CC"/>
    <w:family w:val="modern"/>
    <w:notTrueType/>
    <w:pitch w:val="variable"/>
    <w:sig w:usb0="80000283" w:usb1="0000204A" w:usb2="00000000" w:usb3="00000000" w:csb0="00000004" w:csb1="00000000"/>
  </w:font>
  <w:font w:name="лются">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pPr>
      <w:jc w:val="both"/>
      <w:rPr>
        <w:rFonts w:ascii="Arial" w:hAnsi="Arial" w:cs="Arial"/>
        <w:sz w:val="16"/>
        <w:szCs w:val="16"/>
      </w:rPr>
    </w:pPr>
  </w:p>
  <w:p>
    <w:pPr>
      <w:pStyle w:val="a7"/>
      <w:tabs>
        <w:tab w:val="clear" w:pos="9355"/>
        <w:tab w:val="right" w:pos="9180"/>
        <w:tab w:val="left" w:pos="9899"/>
      </w:tabs>
      <w:ind w:right="-1" w:firstLine="180"/>
      <w:jc w:val="right"/>
      <w:rPr>
        <w:sz w:val="16"/>
        <w:szCs w:val="16"/>
      </w:rPr>
    </w:pPr>
    <w:r>
      <w:rPr>
        <w:rFonts w:ascii="Arial" w:hAnsi="Arial" w:cs="Arial"/>
        <w:sz w:val="16"/>
        <w:szCs w:val="16"/>
      </w:rPr>
      <w:t>© ® ПАО «НК «Роснефть», 2017</w:t>
    </w:r>
  </w:p>
  <w:tbl>
    <w:tblPr>
      <w:tblW w:w="5000" w:type="pct"/>
      <w:tblLook w:val="01E0" w:firstRow="1" w:lastRow="1" w:firstColumn="1" w:lastColumn="1" w:noHBand="0" w:noVBand="0"/>
    </w:tblPr>
    <w:tblGrid>
      <w:gridCol w:w="9606"/>
      <w:gridCol w:w="248"/>
    </w:tblGrid>
    <w:tr>
      <w:tc>
        <w:tcPr>
          <w:tcW w:w="4874" w:type="pct"/>
          <w:tcBorders>
            <w:top w:val="single" w:sz="12" w:space="0" w:color="FFD200"/>
          </w:tcBorders>
          <w:vAlign w:val="center"/>
        </w:tcPr>
        <w:p>
          <w:pPr>
            <w:pStyle w:val="a5"/>
            <w:spacing w:before="60"/>
            <w:rPr>
              <w:rFonts w:ascii="Arial" w:hAnsi="Arial" w:cs="Arial"/>
              <w:b/>
              <w:sz w:val="10"/>
              <w:szCs w:val="10"/>
            </w:rPr>
          </w:pPr>
          <w:r>
            <w:rPr>
              <w:rFonts w:ascii="Arial" w:hAnsi="Arial" w:cs="Arial"/>
              <w:b/>
              <w:sz w:val="10"/>
              <w:szCs w:val="10"/>
            </w:rPr>
            <w:t>МЕТОДИЧЕСКИЕ УКАЗАНИЯ КОМПАНИИ «БЕЗОПАСНОСТЬ ТЕЛЕКОММУНИКАЦИОННОЙ ИНФРАСТРУКТУРЫ»</w:t>
          </w:r>
        </w:p>
      </w:tc>
      <w:tc>
        <w:tcPr>
          <w:tcW w:w="126" w:type="pct"/>
          <w:tcBorders>
            <w:top w:val="single" w:sz="12" w:space="0" w:color="FFD200"/>
          </w:tcBorders>
        </w:tcPr>
        <w:p>
          <w:pPr>
            <w:pStyle w:val="a7"/>
            <w:spacing w:before="60"/>
            <w:rPr>
              <w:rFonts w:ascii="Arial" w:hAnsi="Arial" w:cs="Arial"/>
              <w:b/>
              <w:sz w:val="10"/>
              <w:szCs w:val="10"/>
            </w:rPr>
          </w:pPr>
        </w:p>
      </w:tc>
    </w:tr>
    <w:tr>
      <w:tc>
        <w:tcPr>
          <w:tcW w:w="4874" w:type="pct"/>
          <w:vAlign w:val="center"/>
        </w:tcPr>
        <w:p>
          <w:pPr>
            <w:pStyle w:val="a7"/>
            <w:rPr>
              <w:rFonts w:ascii="Arial" w:hAnsi="Arial" w:cs="Arial"/>
              <w:b/>
              <w:sz w:val="10"/>
              <w:szCs w:val="10"/>
            </w:rPr>
          </w:pPr>
          <w:r>
            <w:rPr>
              <w:rFonts w:ascii="Arial" w:hAnsi="Arial" w:cs="Arial"/>
              <w:b/>
              <w:sz w:val="10"/>
              <w:szCs w:val="10"/>
            </w:rPr>
            <w:t>№ П3-11.01 М-0022 ВЕРСИЯ 1.00</w:t>
          </w:r>
        </w:p>
      </w:tc>
      <w:tc>
        <w:tcPr>
          <w:tcW w:w="126" w:type="pct"/>
        </w:tcPr>
        <w:p>
          <w:pPr>
            <w:pStyle w:val="a7"/>
            <w:rPr>
              <w:rFonts w:ascii="Arial" w:hAnsi="Arial" w:cs="Arial"/>
              <w:b/>
              <w:sz w:val="10"/>
              <w:szCs w:val="10"/>
            </w:rPr>
          </w:pPr>
        </w:p>
      </w:tc>
    </w:tr>
  </w:tbl>
  <w:p>
    <w:pPr>
      <w:pStyle w:val="a7"/>
    </w:pPr>
    <w:r>
      <w:rPr>
        <w:noProof/>
        <w:lang w:eastAsia="ru-RU"/>
      </w:rPr>
      <w:pict>
        <v:shapetype id="_x0000_t202" coordsize="21600,21600" o:spt="202" path="m,l,21600r21600,l21600,xe">
          <v:stroke joinstyle="miter"/>
          <v:path gradientshapeok="t" o:connecttype="rect"/>
        </v:shapetype>
        <v:shape id="Text Box 1" o:spid="_x0000_s2142" type="#_x0000_t202" style="position:absolute;margin-left:36.65pt;margin-top:15.55pt;width:440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WhswIAALoFAAAOAAAAZHJzL2Uyb0RvYy54bWysVG1vmzAQ/j5p/8Hyd4pJHRJQSdWGME3q&#10;XqR2P8ABE6yBzWwnpJv233c2SZq2mjRt44Nl+87P3XP3cFfX+65FO66NUDLD0QXBiMtSVUJuMvzl&#10;oQjmGBnLZMVaJXmGH7nB14u3b66GPuUT1ai24hoBiDTp0Ge4sbZPw9CUDe+YuVA9l2Csle6YhaPe&#10;hJVmA6B3bTghJA4Hpateq5IbA7f5aMQLj1/XvLSf6tpwi9oMQ27Wr9qva7eGiyuWbjTrG1Ee0mB/&#10;kUXHhISgJ6icWYa2WryC6kSplVG1vShVF6q6FiX3HIBNRF6wuW9Yzz0XKI7pT2Uy/w+2/Lj7rJGo&#10;MnyJkWQdtOiB7y26VXsUueoMvUnB6b4HN7uHa+iyZ2r6O1V+NUiqZcPkht9orYaGswqy8y/Ds6cj&#10;jnEg6+GDqiAM21rlgfa17lzpoBgI0KFLj6fOuFRKF5KQJJ6CqQTbJXyzqUsuZOnxda+NfcdVh9wm&#10;wxo679HZ7s7Y0fXo4oJJVYi29d1v5bMLwBxvIDY8dTaXhW/mj4Qkq/lqTgM6iVcBJXke3BRLGsRF&#10;NJvml/lymUc/XdyIpo2oKi5dmKOwIvpnjTtIfJTESVpGtaJycC4lozfrZavRjoGwC/8dCnLmFj5P&#10;w9cLuLygFE0ouZ0kQRHPZwEt6DRIZmQekCi5TWJCE5oXzyndCcn/nRIaoK3xNCKjmn5LjvjvNTmW&#10;dsLC7GhFl+H5yYmlToMrWfneWibacX9WC5f/Uy2g38dOe8U6kY5ytfv1HlCcjNeqegTtagXSAhXC&#10;wINNo/R3jAYYHhk237ZMc4za9xL0n0SUumnjD3Q6m8BBn1vW5xYmS4DKsMVo3C7tOKG2vRabBiKN&#10;f5xUN/DP1MLL+SkroOIOMCA8qcMwcxPo/Oy9nkbu4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MbHWhswIAALoF&#10;AAAOAAAAAAAAAAAAAAAAAC4CAABkcnMvZTJvRG9jLnhtbFBLAQItABQABgAIAAAAIQD9XCyl4AAA&#10;AAkBAAAPAAAAAAAAAAAAAAAAAA0FAABkcnMvZG93bnJldi54bWxQSwUGAAAAAAQABADzAAAAGgYA&#10;AAAA&#10;" filled="f" stroked="f" strokeweight="1.3pt">
          <v:textbox style="mso-next-textbox:#Text Box 1">
            <w:txbxContent>
              <w:p>
                <w:pPr>
                  <w:spacing w:before="120"/>
                  <w:jc w:val="right"/>
                  <w:rPr>
                    <w:rFonts w:ascii="Arial" w:hAnsi="Arial" w:cs="Arial"/>
                    <w:b/>
                    <w:sz w:val="12"/>
                    <w:szCs w:val="12"/>
                  </w:rPr>
                </w:pPr>
                <w:r>
                  <w:rPr>
                    <w:rStyle w:val="af7"/>
                    <w:rFonts w:ascii="Arial" w:hAnsi="Arial" w:cs="Arial"/>
                    <w:color w:val="999999"/>
                    <w:sz w:val="12"/>
                    <w:szCs w:val="12"/>
                  </w:rPr>
                  <w:t xml:space="preserve">СПРАВОЧНО. Выгружено из каталога «НОБ» системы </w:t>
                </w:r>
                <w:r>
                  <w:rPr>
                    <w:rStyle w:val="af7"/>
                    <w:rFonts w:ascii="Arial" w:hAnsi="Arial" w:cs="Arial"/>
                    <w:color w:val="999999"/>
                    <w:sz w:val="12"/>
                    <w:szCs w:val="12"/>
                    <w:lang w:val="en-US"/>
                  </w:rPr>
                  <w:t>PayDox</w:t>
                </w:r>
                <w:r>
                  <w:rPr>
                    <w:rFonts w:ascii="Arial" w:hAnsi="Arial" w:cs="Arial"/>
                    <w:b/>
                    <w:bCs/>
                    <w:color w:val="999999"/>
                    <w:sz w:val="12"/>
                    <w:szCs w:val="12"/>
                  </w:rPr>
                  <w:t xml:space="preserve"> ОАО «Удмуртнефть»         </w:t>
                </w: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50</w:t>
                </w:r>
                <w:r>
                  <w:rPr>
                    <w:rFonts w:ascii="Arial" w:hAnsi="Arial" w:cs="Arial"/>
                    <w:b/>
                    <w:sz w:val="12"/>
                    <w:szCs w:val="12"/>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606"/>
      <w:gridCol w:w="248"/>
    </w:tblGrid>
    <w:tr>
      <w:tc>
        <w:tcPr>
          <w:tcW w:w="4874" w:type="pct"/>
          <w:tcBorders>
            <w:top w:val="single" w:sz="12" w:space="0" w:color="FFD200"/>
          </w:tcBorders>
          <w:vAlign w:val="center"/>
        </w:tcPr>
        <w:p>
          <w:pPr>
            <w:pStyle w:val="a5"/>
            <w:spacing w:before="60"/>
            <w:rPr>
              <w:rFonts w:ascii="Arial" w:hAnsi="Arial" w:cs="Arial"/>
              <w:b/>
              <w:sz w:val="10"/>
              <w:szCs w:val="10"/>
            </w:rPr>
          </w:pPr>
          <w:r>
            <w:rPr>
              <w:rFonts w:ascii="Arial" w:hAnsi="Arial" w:cs="Arial"/>
              <w:b/>
              <w:sz w:val="10"/>
              <w:szCs w:val="10"/>
            </w:rPr>
            <w:t>МЕТОДИЧЕСКИЕ УКАЗАНИЯ КОМПАНИИ «БЕЗОПАСНОСТЬ ТЕЛЕКОММУНИКАЦИОННОЙ ИНФРАСТРУКТУРЫ»</w:t>
          </w:r>
        </w:p>
      </w:tc>
      <w:tc>
        <w:tcPr>
          <w:tcW w:w="126" w:type="pct"/>
          <w:tcBorders>
            <w:top w:val="single" w:sz="12" w:space="0" w:color="FFD200"/>
          </w:tcBorders>
        </w:tcPr>
        <w:p>
          <w:pPr>
            <w:pStyle w:val="a7"/>
            <w:spacing w:before="60"/>
            <w:rPr>
              <w:rFonts w:ascii="Arial" w:hAnsi="Arial" w:cs="Arial"/>
              <w:b/>
              <w:sz w:val="10"/>
              <w:szCs w:val="10"/>
            </w:rPr>
          </w:pPr>
        </w:p>
      </w:tc>
    </w:tr>
    <w:tr>
      <w:tc>
        <w:tcPr>
          <w:tcW w:w="4874" w:type="pct"/>
          <w:vAlign w:val="center"/>
        </w:tcPr>
        <w:p>
          <w:pPr>
            <w:pStyle w:val="a7"/>
            <w:rPr>
              <w:rFonts w:ascii="Arial" w:hAnsi="Arial" w:cs="Arial"/>
              <w:b/>
              <w:sz w:val="10"/>
              <w:szCs w:val="10"/>
            </w:rPr>
          </w:pPr>
          <w:r>
            <w:rPr>
              <w:rFonts w:ascii="Arial" w:hAnsi="Arial" w:cs="Arial"/>
              <w:b/>
              <w:sz w:val="10"/>
              <w:szCs w:val="10"/>
            </w:rPr>
            <w:t>№ П3-11.01 М-0022 ВЕРСИЯ 1.00</w:t>
          </w:r>
        </w:p>
      </w:tc>
      <w:tc>
        <w:tcPr>
          <w:tcW w:w="126" w:type="pct"/>
        </w:tcPr>
        <w:p>
          <w:pPr>
            <w:pStyle w:val="a7"/>
            <w:rPr>
              <w:rFonts w:ascii="Arial" w:hAnsi="Arial" w:cs="Arial"/>
              <w:b/>
              <w:sz w:val="10"/>
              <w:szCs w:val="10"/>
            </w:rPr>
          </w:pPr>
        </w:p>
      </w:tc>
    </w:tr>
  </w:tbl>
  <w:p>
    <w:pPr>
      <w:pStyle w:val="a7"/>
    </w:pPr>
    <w:r>
      <w:rPr>
        <w:noProof/>
        <w:lang w:eastAsia="ru-RU"/>
      </w:rPr>
      <w:pict>
        <v:shapetype id="_x0000_t202" coordsize="21600,21600" o:spt="202" path="m,l,21600r21600,l21600,xe">
          <v:stroke joinstyle="miter"/>
          <v:path gradientshapeok="t" o:connecttype="rect"/>
        </v:shapetype>
        <v:shape id="Text Box 96" o:spid="_x0000_s2141" type="#_x0000_t202" style="position:absolute;margin-left:19.4pt;margin-top:15.55pt;width:457.25pt;height:26.25pt;z-index:251793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GtgIAAMI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1KYleeoTcpeN334Gf3cO5cHVXT36nyq0FSLRsmN/xGazU0nFWQXuRuhmdX&#10;RxzjQNbDB1VBHLa1ygPta905QKgGAnRo0+OpNS6X0oUkJImnYCrBdgnfbOpDsPR4u9fGvuOqQ26R&#10;YQ2t9+hsd2esy4alRxcXTKpCtK1vfyufHYDjeAKx4aqzuSx8N38kJFnNV3Ma0Em8CijJ8+CmWNIg&#10;LqLZNL/Ml8s8+uniRjRtRFVx6cIclRXRP+vcQeOjJk7aMqoVlYNzKRm9WS9bjXYMlF3471CQM7fw&#10;eRq+CMDlBaVoQsntJAmKeD4LaEGnQTIj84BEyW0SE5rQvHhO6U5I/u+U0ABtjacRGdX0W3LEf6/J&#10;sbQTFoZHK7oMz09OLHUaXMnK99Yy0Y7rs1q4/J9qAf0+dtor1ol0lKvdr/eHtwFgTs1rVT2ChLUC&#10;hYEYYfDBolH6O0YDDJEMm29bpjlG7XsJzyCJKHVTx2/odDaBjT63rM8tTJYAlWGL0bhc2nFSbXst&#10;Ng1EGh+eVDfwdGrhVf2U1eHBwaDw3A5DzU2i8733ehq9i18AAAD//wMAUEsDBBQABgAIAAAAIQD9&#10;XCyl4AAAAAkBAAAPAAAAZHJzL2Rvd25yZXYueG1sTI/LTsMwEEX3SPyDNUhsUOsEQ2lDJhXiIZUN&#10;qEk/wI1NEuFHZLtt+vcMK1jOzNGdc8v1ZA076hAH7xDyeQZMu9arwXUIu+ZttgQWk3RKGu80wllH&#10;WFeXF6UslD+5rT7WqWMU4mIhEfqUxoLz2Pbayjj3o3Z0+/LBykRj6LgK8kTh1vDbLFtwKwdHH3o5&#10;6udet9/1wSLUnx/DZnceRWduchveX5smvTSI11fT0yOwpKf0B8OvPqlDRU57f3AqMoPwsLoThCKI&#10;PAdGwOpe0GKPsBQL4FXJ/zeofgAAAP//AwBQSwECLQAUAAYACAAAACEAtoM4kv4AAADhAQAAEwAA&#10;AAAAAAAAAAAAAAAAAAAAW0NvbnRlbnRfVHlwZXNdLnhtbFBLAQItABQABgAIAAAAIQA4/SH/1gAA&#10;AJQBAAALAAAAAAAAAAAAAAAAAC8BAABfcmVscy8ucmVsc1BLAQItABQABgAIAAAAIQALwefGtgIA&#10;AMIFAAAOAAAAAAAAAAAAAAAAAC4CAABkcnMvZTJvRG9jLnhtbFBLAQItABQABgAIAAAAIQD9XCyl&#10;4AAAAAkBAAAPAAAAAAAAAAAAAAAAABAFAABkcnMvZG93bnJldi54bWxQSwUGAAAAAAQABADzAAAA&#10;HQYAAAAA&#10;" filled="f" stroked="f" strokeweight="1.3pt">
          <v:textbox style="mso-next-textbox:#Text Box 96">
            <w:txbxContent>
              <w:p>
                <w:pPr>
                  <w:spacing w:before="120"/>
                  <w:jc w:val="right"/>
                  <w:rPr>
                    <w:rFonts w:ascii="Arial" w:hAnsi="Arial" w:cs="Arial"/>
                    <w:b/>
                    <w:sz w:val="12"/>
                    <w:szCs w:val="12"/>
                  </w:rPr>
                </w:pPr>
                <w:r>
                  <w:rPr>
                    <w:rStyle w:val="af7"/>
                    <w:rFonts w:ascii="Arial" w:hAnsi="Arial" w:cs="Arial"/>
                    <w:color w:val="999999"/>
                    <w:sz w:val="12"/>
                    <w:szCs w:val="12"/>
                  </w:rPr>
                  <w:t xml:space="preserve">СПРАВОЧНО. Выгружено из каталога «НОБ» системы </w:t>
                </w:r>
                <w:r>
                  <w:rPr>
                    <w:rStyle w:val="af7"/>
                    <w:rFonts w:ascii="Arial" w:hAnsi="Arial" w:cs="Arial"/>
                    <w:color w:val="999999"/>
                    <w:sz w:val="12"/>
                    <w:szCs w:val="12"/>
                    <w:lang w:val="en-US"/>
                  </w:rPr>
                  <w:t>PayDox</w:t>
                </w:r>
                <w:r>
                  <w:rPr>
                    <w:rFonts w:ascii="Arial" w:hAnsi="Arial" w:cs="Arial"/>
                    <w:b/>
                    <w:bCs/>
                    <w:color w:val="999999"/>
                    <w:sz w:val="12"/>
                    <w:szCs w:val="12"/>
                  </w:rPr>
                  <w:t xml:space="preserve"> ОАО «Удмуртнефть»         </w:t>
                </w: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50</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50</w:t>
                </w:r>
                <w:r>
                  <w:rPr>
                    <w:rFonts w:ascii="Arial" w:hAnsi="Arial" w:cs="Arial"/>
                    <w:b/>
                    <w:sz w:val="12"/>
                    <w:szCs w:val="12"/>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ОБОЗНАЧЕНИЯ И СОКРАЩЕНИЯ</w:t>
          </w:r>
        </w:p>
      </w:tc>
    </w:tr>
  </w:tbl>
  <w:p>
    <w:pPr>
      <w:pStyle w:val="a5"/>
      <w:jc w:val="righ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caps/>
              <w:sz w:val="10"/>
              <w:szCs w:val="10"/>
            </w:rPr>
            <w:t>Общие положения</w:t>
          </w:r>
        </w:p>
      </w:tc>
    </w:tr>
  </w:tbl>
  <w:p>
    <w:pPr>
      <w:pStyle w:val="a5"/>
      <w:jc w:val="righ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caps/>
              <w:sz w:val="10"/>
              <w:szCs w:val="10"/>
            </w:rPr>
          </w:pPr>
          <w:r>
            <w:rPr>
              <w:rFonts w:ascii="Arial" w:hAnsi="Arial" w:cs="Arial"/>
              <w:b/>
              <w:caps/>
              <w:sz w:val="10"/>
              <w:szCs w:val="10"/>
            </w:rPr>
            <w:t>ТРЕБОВАНИЯ БЕЗОПАСНОСТИ ТЕЛЕКОММУНИКАЦИОННОЙ ИНФРАСТРУКТУРЫ</w:t>
          </w:r>
        </w:p>
      </w:tc>
    </w:tr>
  </w:tbl>
  <w:p>
    <w:pPr>
      <w:pStyle w:val="a5"/>
      <w:jc w:val="righ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СОДЕРЖАНИЕ</w:t>
          </w:r>
        </w:p>
      </w:tc>
    </w:tr>
  </w:tbl>
  <w:p>
    <w:pPr>
      <w:pStyle w:val="a5"/>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caps/>
              <w:sz w:val="10"/>
              <w:szCs w:val="10"/>
            </w:rPr>
            <w:t>Требования к технической документации телекоммуникационной инфраструктуры</w:t>
          </w:r>
        </w:p>
      </w:tc>
    </w:tr>
  </w:tbl>
  <w:p>
    <w:pPr>
      <w:pStyle w:val="a5"/>
      <w:jc w:val="righ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caps/>
              <w:sz w:val="10"/>
              <w:szCs w:val="10"/>
            </w:rPr>
            <w:t>меры обеспечения безопасности телекоммуникационной инфраструктуры</w:t>
          </w:r>
        </w:p>
      </w:tc>
    </w:tr>
  </w:tbl>
  <w:p>
    <w:pPr>
      <w:pStyle w:val="a5"/>
      <w:jc w:val="righ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caps/>
              <w:sz w:val="10"/>
              <w:szCs w:val="10"/>
            </w:rPr>
            <w:t>Требования к объектам телекоммуникационной инфраструктуры</w:t>
          </w:r>
        </w:p>
      </w:tc>
    </w:tr>
  </w:tbl>
  <w:p>
    <w:pPr>
      <w:pStyle w:val="a5"/>
      <w:jc w:val="right"/>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40" type="#_x0000_t136" style="position:absolute;margin-left:0;margin-top:0;width:528.45pt;height:150.95pt;z-index:251791360"/>
      </w:pict>
    </w:r>
    <w:r>
      <w:rPr>
        <w:noProof/>
      </w:rPr>
      <w:pict>
        <v:shape id="_x0000_s2086" type="#_x0000_t136" style="position:absolute;margin-left:0;margin-top:0;width:509.55pt;height:169.85pt;z-index:251723776"/>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caps/>
              <w:sz w:val="10"/>
              <w:szCs w:val="10"/>
            </w:rPr>
            <w:t>ТРЕБОВАНИЯ БЕЗОПАСНОСТИ СЕТЕЙ СВЯЗИ</w:t>
          </w:r>
        </w:p>
      </w:tc>
    </w:tr>
  </w:tbl>
  <w:p>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9" type="#_x0000_t136" style="position:absolute;margin-left:0;margin-top:0;width:528.45pt;height:150.95pt;z-index:251789312"/>
      </w:pict>
    </w:r>
    <w:r>
      <w:rPr>
        <w:noProof/>
      </w:rPr>
      <w:pict>
        <v:shape id="_x0000_s2085" type="#_x0000_t136" style="position:absolute;margin-left:0;margin-top:0;width:509.55pt;height:169.85pt;z-index:251721728"/>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bCs/>
              <w:caps/>
              <w:sz w:val="10"/>
              <w:szCs w:val="10"/>
            </w:rPr>
            <w:t>ССЫЛКИ</w:t>
          </w:r>
        </w:p>
      </w:tc>
    </w:tr>
  </w:tbl>
  <w:p>
    <w:pPr>
      <w:pStyle w:val="a5"/>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БИБЛИОГРАФИЯ</w:t>
          </w:r>
        </w:p>
      </w:tc>
    </w:tr>
  </w:tbl>
  <w:p>
    <w:pPr>
      <w:pStyle w:val="a5"/>
      <w:jc w:val="righ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ПРИЛОЖЕНИЯ</w:t>
          </w:r>
        </w:p>
      </w:tc>
    </w:tr>
  </w:tbl>
  <w:p>
    <w:pPr>
      <w:pStyle w:val="a5"/>
      <w:jc w:val="righ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ВВОДНЫЕ ПОЛОЖЕНИЯ</w:t>
          </w:r>
        </w:p>
      </w:tc>
    </w:tr>
  </w:tbl>
  <w:p>
    <w:pPr>
      <w:pStyle w:val="a5"/>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trPr>
        <w:trHeight w:val="253"/>
      </w:trPr>
      <w:tc>
        <w:tcPr>
          <w:tcW w:w="5000" w:type="pct"/>
          <w:tcBorders>
            <w:bottom w:val="single" w:sz="12" w:space="0" w:color="FFD200"/>
          </w:tcBorders>
          <w:vAlign w:val="center"/>
        </w:tcPr>
        <w:p>
          <w:pPr>
            <w:pStyle w:val="a5"/>
            <w:jc w:val="right"/>
            <w:rPr>
              <w:rFonts w:ascii="Arial" w:hAnsi="Arial" w:cs="Arial"/>
              <w:b/>
              <w:sz w:val="10"/>
              <w:szCs w:val="10"/>
            </w:rPr>
          </w:pPr>
          <w:r>
            <w:rPr>
              <w:rFonts w:ascii="Arial" w:hAnsi="Arial" w:cs="Arial"/>
              <w:b/>
              <w:noProof/>
              <w:sz w:val="10"/>
              <w:szCs w:val="10"/>
            </w:rPr>
            <w:t>ТЕРМИНЫ И ОПРЕДЕЛЕНИЯ</w:t>
          </w:r>
        </w:p>
      </w:tc>
    </w:tr>
  </w:tbl>
  <w:p>
    <w:pPr>
      <w:pStyle w:val="a5"/>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440"/>
        </w:tabs>
        <w:ind w:left="144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800"/>
        </w:tabs>
        <w:ind w:left="1800" w:hanging="108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nsid w:val="00E46522"/>
    <w:multiLevelType w:val="hybridMultilevel"/>
    <w:tmpl w:val="109A44F2"/>
    <w:lvl w:ilvl="0" w:tplc="438C9C66">
      <w:start w:val="1"/>
      <w:numFmt w:val="bullet"/>
      <w:lvlText w:val=""/>
      <w:lvlJc w:val="left"/>
      <w:pPr>
        <w:ind w:left="720" w:hanging="360"/>
      </w:pPr>
      <w:rPr>
        <w:rFonts w:ascii="Wingdings" w:hAnsi="Wingdings"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173C85"/>
    <w:multiLevelType w:val="hybridMultilevel"/>
    <w:tmpl w:val="F20A1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161C7681"/>
    <w:multiLevelType w:val="multilevel"/>
    <w:tmpl w:val="6BAE5696"/>
    <w:styleLink w:val="a0"/>
    <w:lvl w:ilvl="0">
      <w:start w:val="1"/>
      <w:numFmt w:val="bullet"/>
      <w:lvlText w:val=""/>
      <w:lvlJc w:val="left"/>
      <w:pPr>
        <w:tabs>
          <w:tab w:val="num" w:pos="1072"/>
        </w:tabs>
        <w:ind w:left="1072" w:hanging="358"/>
      </w:pPr>
      <w:rPr>
        <w:rFonts w:ascii="Wingdings" w:hAnsi="Wingdings" w:hint="default"/>
        <w:sz w:val="24"/>
      </w:rPr>
    </w:lvl>
    <w:lvl w:ilvl="1">
      <w:start w:val="1"/>
      <w:numFmt w:val="bullet"/>
      <w:lvlText w:val=""/>
      <w:lvlJc w:val="left"/>
      <w:pPr>
        <w:tabs>
          <w:tab w:val="num" w:pos="1429"/>
        </w:tabs>
        <w:ind w:left="1429" w:hanging="357"/>
      </w:pPr>
      <w:rPr>
        <w:rFonts w:ascii="Wingdings" w:hAnsi="Wingdings" w:hint="default"/>
      </w:rPr>
    </w:lvl>
    <w:lvl w:ilvl="2">
      <w:start w:val="1"/>
      <w:numFmt w:val="bullet"/>
      <w:lvlText w:val=""/>
      <w:lvlJc w:val="left"/>
      <w:pPr>
        <w:tabs>
          <w:tab w:val="num" w:pos="1786"/>
        </w:tabs>
        <w:ind w:left="1786" w:hanging="35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257E1583"/>
    <w:multiLevelType w:val="hybridMultilevel"/>
    <w:tmpl w:val="DA047926"/>
    <w:lvl w:ilvl="0" w:tplc="008EAD7C">
      <w:start w:val="1"/>
      <w:numFmt w:val="bullet"/>
      <w:lvlText w:val=""/>
      <w:lvlJc w:val="left"/>
      <w:pPr>
        <w:tabs>
          <w:tab w:val="num" w:pos="2204"/>
        </w:tabs>
        <w:ind w:left="2204" w:hanging="360"/>
      </w:pPr>
      <w:rPr>
        <w:rFonts w:ascii="Wingdings" w:hAnsi="Wingdings" w:hint="default"/>
        <w:color w:val="auto"/>
        <w:sz w:val="24"/>
        <w:szCs w:val="24"/>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4E3E48"/>
    <w:multiLevelType w:val="multilevel"/>
    <w:tmpl w:val="6BAE5696"/>
    <w:numStyleLink w:val="a0"/>
  </w:abstractNum>
  <w:abstractNum w:abstractNumId="8">
    <w:nsid w:val="29555625"/>
    <w:multiLevelType w:val="multilevel"/>
    <w:tmpl w:val="86B8CD56"/>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C434538"/>
    <w:multiLevelType w:val="hybridMultilevel"/>
    <w:tmpl w:val="623AD2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7706EF"/>
    <w:multiLevelType w:val="hybridMultilevel"/>
    <w:tmpl w:val="3DAEB92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85370F"/>
    <w:multiLevelType w:val="hybridMultilevel"/>
    <w:tmpl w:val="0B1ED7D2"/>
    <w:lvl w:ilvl="0" w:tplc="509E1AA6">
      <w:start w:val="1"/>
      <w:numFmt w:val="bullet"/>
      <w:lvlText w:val=""/>
      <w:lvlJc w:val="left"/>
      <w:pPr>
        <w:tabs>
          <w:tab w:val="num" w:pos="2204"/>
        </w:tabs>
        <w:ind w:left="2204" w:hanging="360"/>
      </w:pPr>
      <w:rPr>
        <w:rFonts w:ascii="Wingdings" w:hAnsi="Wingdings" w:hint="default"/>
        <w:color w:val="auto"/>
      </w:rPr>
    </w:lvl>
    <w:lvl w:ilvl="1" w:tplc="008EAD7C">
      <w:start w:val="1"/>
      <w:numFmt w:val="bullet"/>
      <w:lvlText w:val=""/>
      <w:lvlJc w:val="left"/>
      <w:pPr>
        <w:tabs>
          <w:tab w:val="num" w:pos="1440"/>
        </w:tabs>
        <w:ind w:left="1440" w:hanging="360"/>
      </w:pPr>
      <w:rPr>
        <w:rFonts w:ascii="Wingdings" w:hAnsi="Wingding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56127A"/>
    <w:multiLevelType w:val="hybridMultilevel"/>
    <w:tmpl w:val="2DBE41F6"/>
    <w:lvl w:ilvl="0" w:tplc="509E1AA6">
      <w:start w:val="1"/>
      <w:numFmt w:val="bullet"/>
      <w:lvlText w:val=""/>
      <w:lvlJc w:val="left"/>
      <w:pPr>
        <w:tabs>
          <w:tab w:val="num" w:pos="2204"/>
        </w:tabs>
        <w:ind w:left="2204" w:hanging="360"/>
      </w:pPr>
      <w:rPr>
        <w:rFonts w:ascii="Wingdings" w:hAnsi="Wingdings" w:hint="default"/>
        <w:color w:val="auto"/>
      </w:rPr>
    </w:lvl>
    <w:lvl w:ilvl="1" w:tplc="008EAD7C">
      <w:start w:val="1"/>
      <w:numFmt w:val="bullet"/>
      <w:lvlText w:val=""/>
      <w:lvlJc w:val="left"/>
      <w:pPr>
        <w:tabs>
          <w:tab w:val="num" w:pos="1440"/>
        </w:tabs>
        <w:ind w:left="1440" w:hanging="360"/>
      </w:pPr>
      <w:rPr>
        <w:rFonts w:ascii="Wingdings" w:hAnsi="Wingding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21F688F"/>
    <w:multiLevelType w:val="hybridMultilevel"/>
    <w:tmpl w:val="54AEF9A2"/>
    <w:lvl w:ilvl="0" w:tplc="04190005">
      <w:start w:val="1"/>
      <w:numFmt w:val="bullet"/>
      <w:lvlText w:val=""/>
      <w:lvlJc w:val="left"/>
      <w:pPr>
        <w:ind w:left="720" w:hanging="360"/>
      </w:pPr>
      <w:rPr>
        <w:rFonts w:ascii="Wingdings" w:hAnsi="Wingdings"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092305"/>
    <w:multiLevelType w:val="hybridMultilevel"/>
    <w:tmpl w:val="76C6F92A"/>
    <w:lvl w:ilvl="0" w:tplc="509E1AA6">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6439A3"/>
    <w:multiLevelType w:val="hybridMultilevel"/>
    <w:tmpl w:val="B9E05178"/>
    <w:lvl w:ilvl="0" w:tplc="509E1AA6">
      <w:start w:val="1"/>
      <w:numFmt w:val="bullet"/>
      <w:lvlText w:val=""/>
      <w:lvlJc w:val="left"/>
      <w:pPr>
        <w:tabs>
          <w:tab w:val="num" w:pos="2204"/>
        </w:tabs>
        <w:ind w:left="2204" w:hanging="360"/>
      </w:pPr>
      <w:rPr>
        <w:rFonts w:ascii="Wingdings" w:hAnsi="Wingdings" w:hint="default"/>
        <w:color w:val="auto"/>
      </w:rPr>
    </w:lvl>
    <w:lvl w:ilvl="1" w:tplc="008EAD7C">
      <w:start w:val="1"/>
      <w:numFmt w:val="bullet"/>
      <w:lvlText w:val=""/>
      <w:lvlJc w:val="left"/>
      <w:pPr>
        <w:tabs>
          <w:tab w:val="num" w:pos="1440"/>
        </w:tabs>
        <w:ind w:left="1440" w:hanging="360"/>
      </w:pPr>
      <w:rPr>
        <w:rFonts w:ascii="Wingdings" w:hAnsi="Wingding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9EF11BD"/>
    <w:multiLevelType w:val="hybridMultilevel"/>
    <w:tmpl w:val="507ABAF6"/>
    <w:lvl w:ilvl="0" w:tplc="509E1AA6">
      <w:start w:val="1"/>
      <w:numFmt w:val="bullet"/>
      <w:lvlText w:val=""/>
      <w:lvlJc w:val="left"/>
      <w:pPr>
        <w:tabs>
          <w:tab w:val="num" w:pos="2204"/>
        </w:tabs>
        <w:ind w:left="2204" w:hanging="360"/>
      </w:pPr>
      <w:rPr>
        <w:rFonts w:ascii="Wingdings" w:hAnsi="Wingdings" w:hint="default"/>
        <w:color w:val="auto"/>
      </w:rPr>
    </w:lvl>
    <w:lvl w:ilvl="1" w:tplc="008EAD7C">
      <w:start w:val="1"/>
      <w:numFmt w:val="bullet"/>
      <w:lvlText w:val=""/>
      <w:lvlJc w:val="left"/>
      <w:pPr>
        <w:tabs>
          <w:tab w:val="num" w:pos="1440"/>
        </w:tabs>
        <w:ind w:left="1440" w:hanging="360"/>
      </w:pPr>
      <w:rPr>
        <w:rFonts w:ascii="Wingdings" w:hAnsi="Wingding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4504F714"/>
    <w:lvl w:ilvl="0">
      <w:start w:val="1"/>
      <w:numFmt w:val="decimal"/>
      <w:pStyle w:val="S1"/>
      <w:lvlText w:val="%1."/>
      <w:lvlJc w:val="left"/>
      <w:pPr>
        <w:ind w:left="360" w:hanging="360"/>
      </w:pPr>
      <w:rPr>
        <w:rFonts w:hint="default"/>
        <w:sz w:val="32"/>
        <w:szCs w:val="32"/>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BCD08D5"/>
    <w:multiLevelType w:val="hybridMultilevel"/>
    <w:tmpl w:val="0DBEAF3E"/>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F15082"/>
    <w:multiLevelType w:val="hybridMultilevel"/>
    <w:tmpl w:val="9D16F322"/>
    <w:lvl w:ilvl="0" w:tplc="509E1AA6">
      <w:start w:val="1"/>
      <w:numFmt w:val="bullet"/>
      <w:lvlText w:val=""/>
      <w:lvlJc w:val="left"/>
      <w:pPr>
        <w:tabs>
          <w:tab w:val="num" w:pos="2204"/>
        </w:tabs>
        <w:ind w:left="2204" w:hanging="360"/>
      </w:pPr>
      <w:rPr>
        <w:rFonts w:ascii="Wingdings" w:hAnsi="Wingdings" w:hint="default"/>
        <w:color w:val="auto"/>
      </w:rPr>
    </w:lvl>
    <w:lvl w:ilvl="1" w:tplc="008EAD7C">
      <w:start w:val="1"/>
      <w:numFmt w:val="bullet"/>
      <w:lvlText w:val=""/>
      <w:lvlJc w:val="left"/>
      <w:pPr>
        <w:tabs>
          <w:tab w:val="num" w:pos="1440"/>
        </w:tabs>
        <w:ind w:left="1440" w:hanging="360"/>
      </w:pPr>
      <w:rPr>
        <w:rFonts w:ascii="Wingdings" w:hAnsi="Wingding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nsid w:val="6BE157A0"/>
    <w:multiLevelType w:val="hybridMultilevel"/>
    <w:tmpl w:val="F20A1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66665D"/>
    <w:multiLevelType w:val="hybridMultilevel"/>
    <w:tmpl w:val="B050873C"/>
    <w:lvl w:ilvl="0" w:tplc="509E1AA6">
      <w:start w:val="1"/>
      <w:numFmt w:val="bullet"/>
      <w:lvlText w:val=""/>
      <w:lvlJc w:val="left"/>
      <w:pPr>
        <w:tabs>
          <w:tab w:val="num" w:pos="2204"/>
        </w:tabs>
        <w:ind w:left="22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A9358D"/>
    <w:multiLevelType w:val="hybridMultilevel"/>
    <w:tmpl w:val="6C80C9BA"/>
    <w:lvl w:ilvl="0" w:tplc="73C27D68">
      <w:start w:val="1"/>
      <w:numFmt w:val="bullet"/>
      <w:pStyle w:val="1"/>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7E43A0A"/>
    <w:multiLevelType w:val="multilevel"/>
    <w:tmpl w:val="86B8CD56"/>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4"/>
  </w:num>
  <w:num w:numId="3">
    <w:abstractNumId w:val="25"/>
  </w:num>
  <w:num w:numId="4">
    <w:abstractNumId w:val="14"/>
  </w:num>
  <w:num w:numId="5">
    <w:abstractNumId w:val="11"/>
  </w:num>
  <w:num w:numId="6">
    <w:abstractNumId w:val="15"/>
  </w:num>
  <w:num w:numId="7">
    <w:abstractNumId w:val="26"/>
  </w:num>
  <w:num w:numId="8">
    <w:abstractNumId w:val="10"/>
  </w:num>
  <w:num w:numId="9">
    <w:abstractNumId w:val="28"/>
  </w:num>
  <w:num w:numId="10">
    <w:abstractNumId w:val="18"/>
  </w:num>
  <w:num w:numId="11">
    <w:abstractNumId w:val="19"/>
  </w:num>
  <w:num w:numId="12">
    <w:abstractNumId w:val="4"/>
  </w:num>
  <w:num w:numId="13">
    <w:abstractNumId w:val="9"/>
  </w:num>
  <w:num w:numId="14">
    <w:abstractNumId w:val="22"/>
  </w:num>
  <w:num w:numId="15">
    <w:abstractNumId w:val="3"/>
  </w:num>
  <w:num w:numId="16">
    <w:abstractNumId w:val="6"/>
  </w:num>
  <w:num w:numId="17">
    <w:abstractNumId w:val="16"/>
  </w:num>
  <w:num w:numId="18">
    <w:abstractNumId w:val="12"/>
  </w:num>
  <w:num w:numId="19">
    <w:abstractNumId w:val="13"/>
  </w:num>
  <w:num w:numId="20">
    <w:abstractNumId w:val="21"/>
  </w:num>
  <w:num w:numId="21">
    <w:abstractNumId w:val="17"/>
  </w:num>
  <w:num w:numId="22">
    <w:abstractNumId w:val="27"/>
  </w:num>
  <w:num w:numId="23">
    <w:abstractNumId w:val="8"/>
  </w:num>
  <w:num w:numId="24">
    <w:abstractNumId w:val="23"/>
  </w:num>
  <w:num w:numId="25">
    <w:abstractNumId w:val="5"/>
  </w:num>
  <w:num w:numId="26">
    <w:abstractNumId w:val="7"/>
  </w:num>
  <w:num w:numId="27">
    <w:abstractNumId w:val="2"/>
  </w:num>
  <w:num w:numId="2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1" w:cryptProviderType="rsaFull" w:cryptAlgorithmClass="hash" w:cryptAlgorithmType="typeAny" w:cryptAlgorithmSid="4" w:cryptSpinCount="100000" w:hash="F8OzqCxDO8ptDuTa350xsokaV7w=" w:salt="1e8gSe/X739eIAq97Mz7Rg=="/>
  <w:styleLockTheme/>
  <w:styleLockQFSet/>
  <w:defaultTabStop w:val="709"/>
  <w:drawingGridHorizontalSpacing w:val="120"/>
  <w:displayHorizontalDrawingGridEvery w:val="2"/>
  <w:characterSpacingControl w:val="doNotCompress"/>
  <w:hdrShapeDefaults>
    <o:shapedefaults v:ext="edit" spidmax="214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uiPriority="9" w:qFormat="1"/>
    <w:lsdException w:name="heading 3" w:locked="1"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locked="1"/>
    <w:lsdException w:name="header" w:locked="1"/>
    <w:lsdException w:name="footer" w:locked="1"/>
    <w:lsdException w:name="caption" w:locked="1" w:qFormat="1"/>
    <w:lsdException w:name="footnote reference" w:locked="1"/>
    <w:lsdException w:name="annotation reference" w:locked="1" w:uiPriority="99"/>
    <w:lsdException w:name="List Bullet" w:locked="1"/>
    <w:lsdException w:name="List 2" w:locked="1"/>
    <w:lsdException w:name="Title" w:uiPriority="10" w:qFormat="1"/>
    <w:lsdException w:name="Default Paragraph Font" w:locked="1"/>
    <w:lsdException w:name="Body Text" w:locked="1"/>
    <w:lsdException w:name="Subtitle" w:qFormat="1"/>
    <w:lsdException w:name="Body Text 3" w:locked="1"/>
    <w:lsdException w:name="Body Text Indent 2" w:locked="1"/>
    <w:lsdException w:name="Body Text Indent 3" w:locked="1"/>
    <w:lsdException w:name="Hyperlink" w:locked="1" w:uiPriority="99"/>
    <w:lsdException w:name="Strong" w:locked="1" w:qFormat="1"/>
    <w:lsdException w:name="Emphasis" w:locked="1" w:qFormat="1"/>
    <w:lsdException w:name="Plain Text" w:locked="1" w:uiPriority="99"/>
    <w:lsdException w:name="HTML Top of Form" w:locked="1"/>
    <w:lsdException w:name="HTML Bottom of Form" w:locked="1"/>
    <w:lsdException w:name="Normal (Web)" w:locked="1" w:uiPriority="99"/>
    <w:lsdException w:name="Normal Table" w:locked="1"/>
    <w:lsdException w:name="annotation subject" w:locked="1"/>
    <w:lsdException w:name="No List" w:locked="1"/>
    <w:lsdException w:name="Balloon Text" w:locked="1"/>
    <w:lsdException w:name="Table Grid"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hAnsi="Times New Roman"/>
      <w:sz w:val="24"/>
      <w:szCs w:val="22"/>
      <w:lang w:eastAsia="en-US"/>
    </w:rPr>
  </w:style>
  <w:style w:type="paragraph" w:styleId="10">
    <w:name w:val="heading 1"/>
    <w:basedOn w:val="a1"/>
    <w:next w:val="a1"/>
    <w:link w:val="11"/>
    <w:qFormat/>
    <w:pPr>
      <w:keepNext/>
      <w:spacing w:before="240" w:after="60"/>
      <w:outlineLvl w:val="0"/>
    </w:pPr>
    <w:rPr>
      <w:rFonts w:ascii="Arial" w:hAnsi="Arial" w:cs="Arial"/>
      <w:b/>
      <w:bCs/>
      <w:kern w:val="32"/>
      <w:sz w:val="32"/>
      <w:szCs w:val="32"/>
    </w:rPr>
  </w:style>
  <w:style w:type="paragraph" w:styleId="20">
    <w:name w:val="heading 2"/>
    <w:basedOn w:val="a1"/>
    <w:next w:val="a1"/>
    <w:link w:val="21"/>
    <w:uiPriority w:val="9"/>
    <w:qFormat/>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locked/>
    <w:rPr>
      <w:rFonts w:ascii="Cambria" w:hAnsi="Cambria" w:cs="Times New Roman"/>
      <w:b/>
      <w:bCs/>
      <w:kern w:val="32"/>
      <w:sz w:val="32"/>
      <w:szCs w:val="32"/>
      <w:lang w:eastAsia="en-US"/>
    </w:rPr>
  </w:style>
  <w:style w:type="character" w:customStyle="1" w:styleId="21">
    <w:name w:val="Заголовок 2 Знак"/>
    <w:basedOn w:val="a2"/>
    <w:link w:val="20"/>
    <w:locked/>
    <w:rPr>
      <w:rFonts w:ascii="Arial" w:hAnsi="Arial" w:cs="Times New Roman"/>
      <w:b/>
      <w:i/>
      <w:sz w:val="28"/>
      <w:lang w:eastAsia="en-US"/>
    </w:rPr>
  </w:style>
  <w:style w:type="paragraph" w:styleId="a5">
    <w:name w:val="header"/>
    <w:basedOn w:val="a1"/>
    <w:link w:val="a6"/>
    <w:pPr>
      <w:tabs>
        <w:tab w:val="center" w:pos="4677"/>
        <w:tab w:val="right" w:pos="9355"/>
      </w:tabs>
    </w:pPr>
  </w:style>
  <w:style w:type="character" w:customStyle="1" w:styleId="a6">
    <w:name w:val="Верхний колонтитул Знак"/>
    <w:basedOn w:val="a2"/>
    <w:link w:val="a5"/>
    <w:locked/>
    <w:rPr>
      <w:rFonts w:cs="Times New Roman"/>
    </w:rPr>
  </w:style>
  <w:style w:type="paragraph" w:styleId="a7">
    <w:name w:val="footer"/>
    <w:basedOn w:val="a1"/>
    <w:link w:val="a8"/>
    <w:pPr>
      <w:tabs>
        <w:tab w:val="center" w:pos="4677"/>
        <w:tab w:val="right" w:pos="9355"/>
      </w:tabs>
    </w:pPr>
  </w:style>
  <w:style w:type="character" w:customStyle="1" w:styleId="a8">
    <w:name w:val="Нижний колонтитул Знак"/>
    <w:basedOn w:val="a2"/>
    <w:link w:val="a7"/>
    <w:locked/>
    <w:rPr>
      <w:rFonts w:cs="Times New Roman"/>
    </w:rPr>
  </w:style>
  <w:style w:type="paragraph" w:customStyle="1" w:styleId="12">
    <w:name w:val="Без интервала1"/>
    <w:rPr>
      <w:sz w:val="22"/>
      <w:szCs w:val="22"/>
      <w:lang w:eastAsia="en-US"/>
    </w:rPr>
  </w:style>
  <w:style w:type="paragraph" w:styleId="a9">
    <w:name w:val="caption"/>
    <w:basedOn w:val="a1"/>
    <w:qFormat/>
    <w:pPr>
      <w:spacing w:before="100" w:beforeAutospacing="1" w:after="100" w:afterAutospacing="1"/>
    </w:pPr>
    <w:rPr>
      <w:rFonts w:eastAsia="Times New Roman"/>
      <w:szCs w:val="24"/>
      <w:lang w:eastAsia="ru-RU"/>
    </w:rPr>
  </w:style>
  <w:style w:type="paragraph" w:styleId="13">
    <w:name w:val="toc 1"/>
    <w:basedOn w:val="a1"/>
    <w:next w:val="a1"/>
    <w:autoRedefine/>
    <w:uiPriority w:val="39"/>
    <w:pPr>
      <w:tabs>
        <w:tab w:val="right" w:leader="dot" w:pos="9720"/>
      </w:tabs>
      <w:spacing w:before="240" w:after="240"/>
      <w:ind w:left="567" w:hanging="567"/>
    </w:pPr>
    <w:rPr>
      <w:rFonts w:ascii="Arial" w:hAnsi="Arial" w:cs="Arial"/>
      <w:b/>
      <w:bCs/>
      <w:caps/>
      <w:noProof/>
      <w:szCs w:val="24"/>
    </w:rPr>
  </w:style>
  <w:style w:type="paragraph" w:styleId="22">
    <w:name w:val="toc 2"/>
    <w:basedOn w:val="a1"/>
    <w:next w:val="a1"/>
    <w:autoRedefine/>
    <w:uiPriority w:val="39"/>
    <w:pPr>
      <w:tabs>
        <w:tab w:val="right" w:leader="dot" w:pos="9720"/>
        <w:tab w:val="right" w:leader="dot" w:pos="9855"/>
      </w:tabs>
      <w:spacing w:before="240"/>
      <w:ind w:firstLine="360"/>
    </w:pPr>
    <w:rPr>
      <w:rFonts w:ascii="Arial" w:hAnsi="Arial" w:cs="Arial"/>
      <w:b/>
      <w:bCs/>
      <w:noProof/>
      <w:sz w:val="22"/>
    </w:rPr>
  </w:style>
  <w:style w:type="paragraph" w:styleId="31">
    <w:name w:val="toc 3"/>
    <w:basedOn w:val="a1"/>
    <w:next w:val="a1"/>
    <w:autoRedefine/>
    <w:semiHidden/>
    <w:pPr>
      <w:ind w:left="240"/>
    </w:pPr>
    <w:rPr>
      <w:sz w:val="20"/>
      <w:szCs w:val="20"/>
    </w:rPr>
  </w:style>
  <w:style w:type="paragraph" w:styleId="4">
    <w:name w:val="toc 4"/>
    <w:basedOn w:val="a1"/>
    <w:next w:val="a1"/>
    <w:autoRedefine/>
    <w:semiHidden/>
    <w:pPr>
      <w:ind w:left="480"/>
    </w:pPr>
    <w:rPr>
      <w:sz w:val="20"/>
      <w:szCs w:val="20"/>
    </w:rPr>
  </w:style>
  <w:style w:type="paragraph" w:styleId="5">
    <w:name w:val="toc 5"/>
    <w:basedOn w:val="a1"/>
    <w:next w:val="a1"/>
    <w:autoRedefine/>
    <w:semiHidden/>
    <w:pPr>
      <w:ind w:left="720"/>
    </w:pPr>
    <w:rPr>
      <w:sz w:val="20"/>
      <w:szCs w:val="20"/>
    </w:rPr>
  </w:style>
  <w:style w:type="paragraph" w:styleId="6">
    <w:name w:val="toc 6"/>
    <w:basedOn w:val="a1"/>
    <w:next w:val="a1"/>
    <w:autoRedefine/>
    <w:semiHidden/>
    <w:pPr>
      <w:ind w:left="960"/>
    </w:pPr>
    <w:rPr>
      <w:sz w:val="20"/>
      <w:szCs w:val="20"/>
    </w:rPr>
  </w:style>
  <w:style w:type="paragraph" w:styleId="7">
    <w:name w:val="toc 7"/>
    <w:basedOn w:val="a1"/>
    <w:next w:val="a1"/>
    <w:autoRedefine/>
    <w:semiHidden/>
    <w:pPr>
      <w:ind w:left="1200"/>
    </w:pPr>
    <w:rPr>
      <w:sz w:val="20"/>
      <w:szCs w:val="20"/>
    </w:rPr>
  </w:style>
  <w:style w:type="paragraph" w:styleId="8">
    <w:name w:val="toc 8"/>
    <w:basedOn w:val="a1"/>
    <w:next w:val="a1"/>
    <w:autoRedefine/>
    <w:semiHidden/>
    <w:pPr>
      <w:ind w:left="1440"/>
    </w:pPr>
    <w:rPr>
      <w:sz w:val="20"/>
      <w:szCs w:val="20"/>
    </w:rPr>
  </w:style>
  <w:style w:type="paragraph" w:styleId="9">
    <w:name w:val="toc 9"/>
    <w:basedOn w:val="a1"/>
    <w:next w:val="a1"/>
    <w:autoRedefine/>
    <w:semiHidden/>
    <w:pPr>
      <w:ind w:left="1680"/>
    </w:pPr>
    <w:rPr>
      <w:sz w:val="20"/>
      <w:szCs w:val="20"/>
    </w:rPr>
  </w:style>
  <w:style w:type="character" w:styleId="aa">
    <w:name w:val="Hyperlink"/>
    <w:basedOn w:val="a2"/>
    <w:uiPriority w:val="99"/>
    <w:rPr>
      <w:rFonts w:cs="Times New Roman"/>
      <w:color w:val="0000FF"/>
      <w:u w:val="single"/>
    </w:rPr>
  </w:style>
  <w:style w:type="character" w:styleId="ab">
    <w:name w:val="annotation reference"/>
    <w:basedOn w:val="a2"/>
    <w:uiPriority w:val="99"/>
    <w:rPr>
      <w:rFonts w:cs="Times New Roman"/>
      <w:sz w:val="16"/>
    </w:rPr>
  </w:style>
  <w:style w:type="paragraph" w:styleId="ac">
    <w:name w:val="annotation text"/>
    <w:basedOn w:val="a1"/>
    <w:link w:val="ad"/>
    <w:rPr>
      <w:sz w:val="20"/>
      <w:szCs w:val="20"/>
    </w:rPr>
  </w:style>
  <w:style w:type="character" w:customStyle="1" w:styleId="ad">
    <w:name w:val="Текст примечания Знак"/>
    <w:basedOn w:val="a2"/>
    <w:link w:val="ac"/>
    <w:locked/>
    <w:rPr>
      <w:rFonts w:ascii="Times New Roman" w:hAnsi="Times New Roman" w:cs="Times New Roman"/>
      <w:lang w:eastAsia="en-US"/>
    </w:rPr>
  </w:style>
  <w:style w:type="paragraph" w:styleId="ae">
    <w:name w:val="annotation subject"/>
    <w:basedOn w:val="ac"/>
    <w:next w:val="ac"/>
    <w:link w:val="af"/>
    <w:semiHidden/>
    <w:rPr>
      <w:b/>
      <w:bCs/>
    </w:rPr>
  </w:style>
  <w:style w:type="character" w:customStyle="1" w:styleId="af">
    <w:name w:val="Тема примечания Знак"/>
    <w:basedOn w:val="ad"/>
    <w:link w:val="ae"/>
    <w:semiHidden/>
    <w:locked/>
    <w:rPr>
      <w:rFonts w:ascii="Times New Roman" w:hAnsi="Times New Roman" w:cs="Times New Roman"/>
      <w:b/>
      <w:bCs/>
      <w:sz w:val="20"/>
      <w:szCs w:val="20"/>
      <w:lang w:eastAsia="en-US"/>
    </w:rPr>
  </w:style>
  <w:style w:type="paragraph" w:styleId="af0">
    <w:name w:val="Balloon Text"/>
    <w:basedOn w:val="a1"/>
    <w:link w:val="af1"/>
    <w:semiHidden/>
    <w:rPr>
      <w:rFonts w:ascii="Tahoma" w:hAnsi="Tahoma" w:cs="Tahoma"/>
      <w:sz w:val="16"/>
      <w:szCs w:val="16"/>
    </w:rPr>
  </w:style>
  <w:style w:type="character" w:customStyle="1" w:styleId="af1">
    <w:name w:val="Текст выноски Знак"/>
    <w:basedOn w:val="a2"/>
    <w:link w:val="af0"/>
    <w:semiHidden/>
    <w:locked/>
    <w:rPr>
      <w:rFonts w:ascii="Times New Roman" w:hAnsi="Times New Roman" w:cs="Times New Roman"/>
      <w:sz w:val="2"/>
      <w:lang w:eastAsia="en-US"/>
    </w:rPr>
  </w:style>
  <w:style w:type="paragraph" w:styleId="32">
    <w:name w:val="Body Text 3"/>
    <w:basedOn w:val="a1"/>
    <w:link w:val="33"/>
    <w:pPr>
      <w:spacing w:before="240" w:after="240"/>
      <w:jc w:val="both"/>
    </w:pPr>
    <w:rPr>
      <w:rFonts w:eastAsia="Times New Roman"/>
      <w:szCs w:val="24"/>
      <w:lang w:eastAsia="ru-RU"/>
    </w:rPr>
  </w:style>
  <w:style w:type="character" w:customStyle="1" w:styleId="33">
    <w:name w:val="Основной текст 3 Знак"/>
    <w:basedOn w:val="a2"/>
    <w:link w:val="32"/>
    <w:semiHidden/>
    <w:locked/>
    <w:rPr>
      <w:rFonts w:ascii="Times New Roman" w:hAnsi="Times New Roman" w:cs="Times New Roman"/>
      <w:sz w:val="16"/>
      <w:szCs w:val="16"/>
      <w:lang w:eastAsia="en-US"/>
    </w:rPr>
  </w:style>
  <w:style w:type="paragraph" w:customStyle="1" w:styleId="af2">
    <w:name w:val="ФИО"/>
    <w:basedOn w:val="a1"/>
    <w:pPr>
      <w:spacing w:after="180"/>
      <w:ind w:left="5670"/>
      <w:jc w:val="both"/>
    </w:pPr>
    <w:rPr>
      <w:rFonts w:eastAsia="Times New Roman"/>
      <w:szCs w:val="20"/>
      <w:lang w:eastAsia="ru-RU"/>
    </w:rPr>
  </w:style>
  <w:style w:type="paragraph" w:styleId="af3">
    <w:name w:val="footnote text"/>
    <w:basedOn w:val="a1"/>
    <w:link w:val="af4"/>
    <w:semiHidden/>
    <w:rPr>
      <w:rFonts w:eastAsia="Times New Roman"/>
      <w:sz w:val="20"/>
      <w:szCs w:val="20"/>
      <w:lang w:eastAsia="ru-RU"/>
    </w:rPr>
  </w:style>
  <w:style w:type="character" w:customStyle="1" w:styleId="af4">
    <w:name w:val="Текст сноски Знак"/>
    <w:basedOn w:val="a2"/>
    <w:link w:val="af3"/>
    <w:semiHidden/>
    <w:locked/>
    <w:rPr>
      <w:rFonts w:ascii="Times New Roman" w:hAnsi="Times New Roman" w:cs="Times New Roman"/>
      <w:sz w:val="20"/>
      <w:szCs w:val="20"/>
      <w:lang w:eastAsia="en-US"/>
    </w:rPr>
  </w:style>
  <w:style w:type="paragraph" w:customStyle="1" w:styleId="af5">
    <w:name w:val="Текст таблица"/>
    <w:basedOn w:val="a1"/>
    <w:pPr>
      <w:numPr>
        <w:ilvl w:val="12"/>
      </w:numPr>
      <w:spacing w:before="60"/>
    </w:pPr>
    <w:rPr>
      <w:rFonts w:eastAsia="Times New Roman"/>
      <w:iCs/>
      <w:sz w:val="22"/>
      <w:szCs w:val="20"/>
      <w:lang w:eastAsia="ru-RU"/>
    </w:rPr>
  </w:style>
  <w:style w:type="character" w:styleId="af6">
    <w:name w:val="footnote reference"/>
    <w:basedOn w:val="a2"/>
    <w:semiHidden/>
    <w:rPr>
      <w:rFonts w:cs="Times New Roman"/>
      <w:vertAlign w:val="superscript"/>
    </w:rPr>
  </w:style>
  <w:style w:type="paragraph" w:styleId="2">
    <w:name w:val="List 2"/>
    <w:basedOn w:val="a1"/>
    <w:pPr>
      <w:widowControl w:val="0"/>
      <w:numPr>
        <w:numId w:val="3"/>
      </w:numPr>
      <w:overflowPunct w:val="0"/>
      <w:autoSpaceDE w:val="0"/>
      <w:autoSpaceDN w:val="0"/>
      <w:adjustRightInd w:val="0"/>
      <w:spacing w:before="60"/>
      <w:jc w:val="both"/>
      <w:textAlignment w:val="baseline"/>
    </w:pPr>
    <w:rPr>
      <w:rFonts w:eastAsia="Times New Roman"/>
      <w:szCs w:val="20"/>
      <w:lang w:eastAsia="ru-RU"/>
    </w:rPr>
  </w:style>
  <w:style w:type="character" w:styleId="af7">
    <w:name w:val="Strong"/>
    <w:basedOn w:val="a2"/>
    <w:qFormat/>
    <w:rPr>
      <w:rFonts w:cs="Times New Roman"/>
      <w:b/>
    </w:rPr>
  </w:style>
  <w:style w:type="paragraph" w:styleId="34">
    <w:name w:val="Body Text Indent 3"/>
    <w:basedOn w:val="a1"/>
    <w:link w:val="35"/>
    <w:pPr>
      <w:spacing w:after="120"/>
      <w:ind w:left="283"/>
    </w:pPr>
    <w:rPr>
      <w:rFonts w:eastAsia="Times New Roman"/>
      <w:sz w:val="16"/>
      <w:szCs w:val="16"/>
      <w:lang w:eastAsia="ru-RU"/>
    </w:rPr>
  </w:style>
  <w:style w:type="character" w:customStyle="1" w:styleId="35">
    <w:name w:val="Основной текст с отступом 3 Знак"/>
    <w:basedOn w:val="a2"/>
    <w:link w:val="34"/>
    <w:semiHidden/>
    <w:locked/>
    <w:rPr>
      <w:rFonts w:ascii="Times New Roman" w:hAnsi="Times New Roman" w:cs="Times New Roman"/>
      <w:sz w:val="16"/>
      <w:szCs w:val="16"/>
      <w:lang w:eastAsia="en-US"/>
    </w:rPr>
  </w:style>
  <w:style w:type="character" w:customStyle="1" w:styleId="S0">
    <w:name w:val="S_Обозначение"/>
    <w:rPr>
      <w:rFonts w:ascii="Arial" w:hAnsi="Arial"/>
      <w:b/>
      <w:i/>
      <w:sz w:val="24"/>
      <w:vertAlign w:val="baseline"/>
      <w:lang w:val="ru-RU" w:eastAsia="ru-RU"/>
    </w:rPr>
  </w:style>
  <w:style w:type="paragraph" w:styleId="af8">
    <w:name w:val="Normal (Web)"/>
    <w:basedOn w:val="a1"/>
    <w:uiPriority w:val="99"/>
    <w:pPr>
      <w:spacing w:before="100" w:beforeAutospacing="1" w:after="100" w:afterAutospacing="1"/>
    </w:pPr>
    <w:rPr>
      <w:rFonts w:eastAsia="Times New Roman"/>
      <w:szCs w:val="24"/>
      <w:lang w:eastAsia="ru-RU"/>
    </w:rPr>
  </w:style>
  <w:style w:type="character" w:customStyle="1" w:styleId="urtxtemph">
    <w:name w:val="urtxtemph"/>
    <w:basedOn w:val="a2"/>
    <w:rPr>
      <w:rFonts w:cs="Times New Roman"/>
    </w:rPr>
  </w:style>
  <w:style w:type="character" w:customStyle="1" w:styleId="36">
    <w:name w:val="Знак Знак3"/>
    <w:semiHidden/>
    <w:rPr>
      <w:sz w:val="24"/>
      <w:lang w:val="ru-RU" w:eastAsia="ru-RU"/>
    </w:rPr>
  </w:style>
  <w:style w:type="character" w:customStyle="1" w:styleId="23">
    <w:name w:val="Знак Знак2"/>
    <w:semiHidden/>
    <w:rPr>
      <w:sz w:val="24"/>
      <w:lang w:val="ru-RU" w:eastAsia="ru-RU"/>
    </w:rPr>
  </w:style>
  <w:style w:type="paragraph" w:styleId="af9">
    <w:name w:val="Body Text"/>
    <w:basedOn w:val="a1"/>
    <w:link w:val="afa"/>
    <w:pPr>
      <w:spacing w:after="120"/>
    </w:pPr>
    <w:rPr>
      <w:rFonts w:eastAsia="Times New Roman"/>
      <w:szCs w:val="24"/>
      <w:lang w:eastAsia="ru-RU"/>
    </w:rPr>
  </w:style>
  <w:style w:type="character" w:customStyle="1" w:styleId="afa">
    <w:name w:val="Основной текст Знак"/>
    <w:basedOn w:val="a2"/>
    <w:link w:val="af9"/>
    <w:locked/>
    <w:rPr>
      <w:rFonts w:ascii="Times New Roman" w:hAnsi="Times New Roman" w:cs="Times New Roman"/>
      <w:sz w:val="24"/>
    </w:rPr>
  </w:style>
  <w:style w:type="paragraph" w:customStyle="1" w:styleId="S4">
    <w:name w:val="S_Обычный"/>
    <w:basedOn w:val="a1"/>
    <w:link w:val="S5"/>
    <w:pPr>
      <w:widowControl w:val="0"/>
      <w:jc w:val="both"/>
    </w:pPr>
    <w:rPr>
      <w:rFonts w:eastAsia="Times New Roman"/>
      <w:szCs w:val="24"/>
      <w:lang w:eastAsia="ru-RU"/>
    </w:rPr>
  </w:style>
  <w:style w:type="character" w:customStyle="1" w:styleId="S5">
    <w:name w:val="S_Обычный Знак"/>
    <w:link w:val="S4"/>
    <w:locked/>
    <w:rPr>
      <w:rFonts w:ascii="Times New Roman" w:eastAsia="Times New Roman" w:hAnsi="Times New Roman"/>
      <w:sz w:val="24"/>
      <w:szCs w:val="24"/>
    </w:rPr>
  </w:style>
  <w:style w:type="paragraph" w:customStyle="1" w:styleId="S">
    <w:name w:val="S_СписокМ_Обычный"/>
    <w:basedOn w:val="a1"/>
    <w:next w:val="S4"/>
    <w:link w:val="S6"/>
    <w:pPr>
      <w:numPr>
        <w:numId w:val="14"/>
      </w:numPr>
      <w:tabs>
        <w:tab w:val="left" w:pos="720"/>
      </w:tabs>
      <w:spacing w:before="120"/>
      <w:jc w:val="both"/>
    </w:pPr>
    <w:rPr>
      <w:rFonts w:eastAsia="Times New Roman"/>
      <w:szCs w:val="24"/>
      <w:lang w:eastAsia="ru-RU"/>
    </w:rPr>
  </w:style>
  <w:style w:type="character" w:customStyle="1" w:styleId="S7">
    <w:name w:val="S_СписокМ_Обычный Знак Знак"/>
    <w:locked/>
    <w:rPr>
      <w:rFonts w:ascii="Times New Roman" w:hAnsi="Times New Roman"/>
      <w:sz w:val="24"/>
    </w:rPr>
  </w:style>
  <w:style w:type="paragraph" w:customStyle="1" w:styleId="afb">
    <w:name w:val="Текст МУ"/>
    <w:basedOn w:val="a1"/>
    <w:pPr>
      <w:suppressAutoHyphens/>
      <w:spacing w:before="180" w:after="120"/>
      <w:jc w:val="both"/>
    </w:pPr>
    <w:rPr>
      <w:rFonts w:eastAsia="Times New Roman"/>
      <w:szCs w:val="20"/>
      <w:lang w:eastAsia="ar-SA"/>
    </w:rPr>
  </w:style>
  <w:style w:type="paragraph" w:customStyle="1" w:styleId="14">
    <w:name w:val="Список 1"/>
    <w:basedOn w:val="a"/>
    <w:link w:val="15"/>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szCs w:val="20"/>
    </w:rPr>
  </w:style>
  <w:style w:type="character" w:customStyle="1" w:styleId="15">
    <w:name w:val="Список 1 Знак"/>
    <w:link w:val="14"/>
    <w:locked/>
    <w:rPr>
      <w:rFonts w:ascii="Times New Roman" w:hAnsi="Times New Roman"/>
      <w:sz w:val="24"/>
    </w:rPr>
  </w:style>
  <w:style w:type="paragraph" w:styleId="a">
    <w:name w:val="List Bullet"/>
    <w:basedOn w:val="a1"/>
    <w:semiHidden/>
    <w:pPr>
      <w:numPr>
        <w:numId w:val="1"/>
      </w:numPr>
      <w:contextualSpacing/>
    </w:pPr>
  </w:style>
  <w:style w:type="paragraph" w:customStyle="1" w:styleId="16">
    <w:name w:val="Название объекта1"/>
    <w:basedOn w:val="a1"/>
    <w:next w:val="a1"/>
    <w:pPr>
      <w:suppressAutoHyphens/>
      <w:jc w:val="center"/>
    </w:pPr>
    <w:rPr>
      <w:rFonts w:ascii="Arial Narrow" w:eastAsia="Times New Roman" w:hAnsi="Arial Narrow" w:cs="Arial Narrow"/>
      <w:b/>
      <w:bCs/>
      <w:color w:val="000080"/>
      <w:sz w:val="20"/>
      <w:szCs w:val="24"/>
      <w:lang w:eastAsia="ar-SA"/>
    </w:rPr>
  </w:style>
  <w:style w:type="paragraph" w:customStyle="1" w:styleId="afc">
    <w:name w:val="Заголовок приложения"/>
    <w:basedOn w:val="a1"/>
    <w:next w:val="a1"/>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pPr>
      <w:suppressAutoHyphens/>
    </w:pPr>
    <w:rPr>
      <w:rFonts w:eastAsia="Times New Roman"/>
      <w:b/>
      <w:bCs/>
      <w:sz w:val="20"/>
      <w:szCs w:val="20"/>
      <w:lang w:eastAsia="ar-SA"/>
    </w:rPr>
  </w:style>
  <w:style w:type="paragraph" w:styleId="17">
    <w:name w:val="index 1"/>
    <w:basedOn w:val="a1"/>
    <w:next w:val="a1"/>
    <w:autoRedefine/>
    <w:semiHidden/>
    <w:pPr>
      <w:jc w:val="both"/>
    </w:pPr>
    <w:rPr>
      <w:rFonts w:eastAsia="Times New Roman"/>
      <w:szCs w:val="24"/>
      <w:lang w:eastAsia="ru-RU"/>
    </w:rPr>
  </w:style>
  <w:style w:type="paragraph" w:customStyle="1" w:styleId="afd">
    <w:name w:val="М_Обычный"/>
    <w:basedOn w:val="a1"/>
    <w:pPr>
      <w:jc w:val="both"/>
    </w:pPr>
    <w:rPr>
      <w:lang w:eastAsia="ru-RU"/>
    </w:rPr>
  </w:style>
  <w:style w:type="paragraph" w:customStyle="1" w:styleId="18">
    <w:name w:val="Абзац списка1"/>
    <w:basedOn w:val="a1"/>
    <w:pPr>
      <w:spacing w:after="200" w:line="276" w:lineRule="auto"/>
      <w:ind w:left="720"/>
      <w:contextualSpacing/>
    </w:pPr>
    <w:rPr>
      <w:rFonts w:ascii="Calibri" w:hAnsi="Calibri"/>
      <w:sz w:val="22"/>
    </w:rPr>
  </w:style>
  <w:style w:type="character" w:customStyle="1" w:styleId="afe">
    <w:name w:val="Цветовое выделение"/>
    <w:uiPriority w:val="99"/>
    <w:rPr>
      <w:b/>
      <w:color w:val="26282F"/>
    </w:rPr>
  </w:style>
  <w:style w:type="paragraph" w:customStyle="1" w:styleId="aff">
    <w:name w:val="Нормальный (таблица)"/>
    <w:basedOn w:val="a1"/>
    <w:next w:val="a1"/>
    <w:uiPriority w:val="99"/>
    <w:pPr>
      <w:widowControl w:val="0"/>
      <w:autoSpaceDE w:val="0"/>
      <w:autoSpaceDN w:val="0"/>
      <w:adjustRightInd w:val="0"/>
      <w:jc w:val="both"/>
    </w:pPr>
    <w:rPr>
      <w:rFonts w:ascii="Arial" w:eastAsia="Times New Roman" w:hAnsi="Arial" w:cs="Arial"/>
      <w:szCs w:val="24"/>
      <w:lang w:eastAsia="ru-RU"/>
    </w:rPr>
  </w:style>
  <w:style w:type="paragraph" w:customStyle="1" w:styleId="aff0">
    <w:name w:val="Прижатый влево"/>
    <w:basedOn w:val="a1"/>
    <w:next w:val="a1"/>
    <w:uiPriority w:val="99"/>
    <w:pPr>
      <w:widowControl w:val="0"/>
      <w:autoSpaceDE w:val="0"/>
      <w:autoSpaceDN w:val="0"/>
      <w:adjustRightInd w:val="0"/>
    </w:pPr>
    <w:rPr>
      <w:rFonts w:ascii="Arial" w:eastAsia="Times New Roman" w:hAnsi="Arial" w:cs="Arial"/>
      <w:szCs w:val="24"/>
      <w:lang w:eastAsia="ru-RU"/>
    </w:rPr>
  </w:style>
  <w:style w:type="character" w:customStyle="1" w:styleId="aff1">
    <w:name w:val="Гипертекстовая ссылка"/>
    <w:basedOn w:val="afe"/>
    <w:uiPriority w:val="99"/>
    <w:rPr>
      <w:rFonts w:cs="Times New Roman"/>
      <w:b/>
      <w:bCs/>
      <w:color w:val="106BBE"/>
    </w:rPr>
  </w:style>
  <w:style w:type="character" w:customStyle="1" w:styleId="tgc">
    <w:name w:val="_tgc"/>
    <w:basedOn w:val="a2"/>
    <w:rPr>
      <w:rFonts w:cs="Times New Roman"/>
    </w:rPr>
  </w:style>
  <w:style w:type="character" w:styleId="aff2">
    <w:name w:val="Emphasis"/>
    <w:basedOn w:val="a2"/>
    <w:qFormat/>
    <w:rPr>
      <w:rFonts w:cs="Times New Roman"/>
      <w:i/>
      <w:iCs/>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basedOn w:val="a2"/>
    <w:link w:val="25"/>
    <w:semiHidden/>
    <w:locked/>
    <w:rPr>
      <w:rFonts w:ascii="Times New Roman" w:hAnsi="Times New Roman" w:cs="Times New Roman"/>
      <w:sz w:val="24"/>
      <w:lang w:eastAsia="en-US"/>
    </w:rPr>
  </w:style>
  <w:style w:type="paragraph" w:customStyle="1" w:styleId="Heading">
    <w:name w:val="Heading"/>
    <w:pPr>
      <w:widowControl w:val="0"/>
      <w:suppressAutoHyphens/>
      <w:autoSpaceDE w:val="0"/>
    </w:pPr>
    <w:rPr>
      <w:rFonts w:ascii="Arial" w:eastAsia="Times New Roman" w:hAnsi="Arial" w:cs="Arial"/>
      <w:b/>
      <w:bCs/>
      <w:kern w:val="1"/>
      <w:sz w:val="22"/>
      <w:szCs w:val="22"/>
      <w:lang w:eastAsia="ar-SA"/>
    </w:rPr>
  </w:style>
  <w:style w:type="character" w:customStyle="1" w:styleId="gr-letter">
    <w:name w:val="gr-letter"/>
    <w:basedOn w:val="a2"/>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paragraph" w:customStyle="1" w:styleId="aff3">
    <w:name w:val="Напишите нам"/>
    <w:basedOn w:val="a1"/>
    <w:next w:val="a1"/>
    <w:uiPriority w:val="99"/>
    <w:pPr>
      <w:autoSpaceDE w:val="0"/>
      <w:autoSpaceDN w:val="0"/>
      <w:adjustRightInd w:val="0"/>
      <w:spacing w:before="90" w:after="90"/>
      <w:ind w:left="180" w:right="180"/>
      <w:jc w:val="both"/>
    </w:pPr>
    <w:rPr>
      <w:rFonts w:ascii="Arial" w:hAnsi="Arial" w:cs="Arial"/>
      <w:sz w:val="20"/>
      <w:szCs w:val="20"/>
      <w:shd w:val="clear" w:color="auto" w:fill="EFFFAD"/>
      <w:lang w:eastAsia="ru-RU"/>
    </w:rPr>
  </w:style>
  <w:style w:type="table" w:styleId="aff4">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aliases w:val="lp1,Bullet List,FooterText,numbered,Paragraphe de liste1,Bullet_IRAO,Мой Список"/>
    <w:basedOn w:val="a1"/>
    <w:link w:val="aff6"/>
    <w:uiPriority w:val="34"/>
    <w:qFormat/>
    <w:pPr>
      <w:ind w:left="720"/>
      <w:contextualSpacing/>
    </w:pPr>
  </w:style>
  <w:style w:type="character" w:customStyle="1" w:styleId="aff6">
    <w:name w:val="Абзац списка Знак"/>
    <w:aliases w:val="lp1 Знак,Bullet List Знак,FooterText Знак,numbered Знак,Paragraphe de liste1 Знак,Bullet_IRAO Знак,Мой Список Знак"/>
    <w:link w:val="aff5"/>
    <w:uiPriority w:val="34"/>
    <w:locked/>
    <w:rPr>
      <w:rFonts w:ascii="Times New Roman" w:hAnsi="Times New Roman"/>
      <w:sz w:val="24"/>
      <w:szCs w:val="22"/>
      <w:lang w:eastAsia="en-US"/>
    </w:rPr>
  </w:style>
  <w:style w:type="character" w:customStyle="1" w:styleId="30">
    <w:name w:val="Заголовок 3 Знак"/>
    <w:basedOn w:val="a2"/>
    <w:link w:val="3"/>
    <w:semiHidden/>
    <w:rPr>
      <w:rFonts w:asciiTheme="majorHAnsi" w:eastAsiaTheme="majorEastAsia" w:hAnsiTheme="majorHAnsi" w:cstheme="majorBidi"/>
      <w:b/>
      <w:bCs/>
      <w:color w:val="4F81BD" w:themeColor="accent1"/>
      <w:sz w:val="24"/>
      <w:szCs w:val="22"/>
      <w:lang w:eastAsia="en-US"/>
    </w:rPr>
  </w:style>
  <w:style w:type="character" w:customStyle="1" w:styleId="st">
    <w:name w:val="st"/>
    <w:basedOn w:val="a2"/>
  </w:style>
  <w:style w:type="paragraph" w:styleId="aff7">
    <w:name w:val="Plain Text"/>
    <w:basedOn w:val="a1"/>
    <w:link w:val="aff8"/>
    <w:uiPriority w:val="99"/>
    <w:unhideWhenUsed/>
    <w:rPr>
      <w:rFonts w:ascii="Calibri" w:eastAsiaTheme="minorHAnsi" w:hAnsi="Calibri" w:cstheme="minorBidi"/>
      <w:sz w:val="22"/>
      <w:szCs w:val="21"/>
    </w:rPr>
  </w:style>
  <w:style w:type="character" w:customStyle="1" w:styleId="aff8">
    <w:name w:val="Текст Знак"/>
    <w:basedOn w:val="a2"/>
    <w:link w:val="aff7"/>
    <w:uiPriority w:val="99"/>
    <w:rPr>
      <w:rFonts w:eastAsiaTheme="minorHAnsi" w:cstheme="minorBidi"/>
      <w:sz w:val="22"/>
      <w:szCs w:val="21"/>
      <w:lang w:eastAsia="en-US"/>
    </w:rPr>
  </w:style>
  <w:style w:type="paragraph" w:customStyle="1" w:styleId="aff9">
    <w:name w:val="Таблицы (моноширинный)"/>
    <w:basedOn w:val="a1"/>
    <w:next w:val="a1"/>
    <w:uiPriority w:val="99"/>
    <w:pPr>
      <w:autoSpaceDE w:val="0"/>
      <w:autoSpaceDN w:val="0"/>
      <w:adjustRightInd w:val="0"/>
    </w:pPr>
    <w:rPr>
      <w:rFonts w:ascii="Courier New" w:hAnsi="Courier New" w:cs="Courier New"/>
      <w:szCs w:val="24"/>
      <w:lang w:eastAsia="ru-RU"/>
    </w:rPr>
  </w:style>
  <w:style w:type="paragraph" w:customStyle="1" w:styleId="S30">
    <w:name w:val="S_Заголовок3_СписокН"/>
    <w:basedOn w:val="a1"/>
    <w:next w:val="S4"/>
    <w:pPr>
      <w:keepNext/>
      <w:numPr>
        <w:ilvl w:val="2"/>
        <w:numId w:val="10"/>
      </w:numPr>
      <w:jc w:val="both"/>
    </w:pPr>
    <w:rPr>
      <w:rFonts w:ascii="Arial" w:eastAsia="Times New Roman" w:hAnsi="Arial"/>
      <w:b/>
      <w:i/>
      <w:caps/>
      <w:sz w:val="20"/>
      <w:szCs w:val="20"/>
      <w:lang w:eastAsia="ru-RU"/>
    </w:rPr>
  </w:style>
  <w:style w:type="paragraph" w:customStyle="1" w:styleId="S8">
    <w:name w:val="S_НазваниеТаблицы"/>
    <w:basedOn w:val="S4"/>
    <w:next w:val="S4"/>
    <w:pPr>
      <w:keepNext/>
      <w:jc w:val="right"/>
    </w:pPr>
    <w:rPr>
      <w:rFonts w:ascii="Arial" w:hAnsi="Arial"/>
      <w:b/>
      <w:sz w:val="20"/>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customStyle="1" w:styleId="S01">
    <w:name w:val="S_Термин01"/>
    <w:basedOn w:val="a2"/>
    <w:uiPriority w:val="99"/>
    <w:rPr>
      <w:rFonts w:ascii="Arial" w:hAnsi="Arial" w:cs="Arial"/>
      <w:b/>
      <w:bCs/>
      <w:i/>
      <w:iCs/>
      <w:caps/>
      <w:sz w:val="20"/>
      <w:szCs w:val="20"/>
      <w:lang w:val="ru-RU" w:eastAsia="ru-RU"/>
    </w:rPr>
  </w:style>
  <w:style w:type="paragraph" w:customStyle="1" w:styleId="S9">
    <w:name w:val="S_НаименованиеДокумента"/>
    <w:basedOn w:val="S4"/>
    <w:next w:val="S4"/>
    <w:pPr>
      <w:widowControl/>
      <w:ind w:right="641"/>
      <w:jc w:val="left"/>
    </w:pPr>
    <w:rPr>
      <w:rFonts w:ascii="Arial" w:hAnsi="Arial"/>
      <w:b/>
      <w:caps/>
    </w:rPr>
  </w:style>
  <w:style w:type="character" w:customStyle="1" w:styleId="affa">
    <w:name w:val="Текст ЛНД Знак"/>
    <w:link w:val="affb"/>
    <w:locked/>
    <w:rPr>
      <w:sz w:val="24"/>
    </w:rPr>
  </w:style>
  <w:style w:type="paragraph" w:customStyle="1" w:styleId="affb">
    <w:name w:val="Текст ЛНД"/>
    <w:basedOn w:val="a1"/>
    <w:link w:val="affa"/>
    <w:pPr>
      <w:spacing w:before="120"/>
      <w:jc w:val="both"/>
    </w:pPr>
    <w:rPr>
      <w:rFonts w:ascii="Calibri" w:hAnsi="Calibri"/>
      <w:szCs w:val="20"/>
      <w:lang w:eastAsia="ru-RU"/>
    </w:rPr>
  </w:style>
  <w:style w:type="paragraph" w:customStyle="1" w:styleId="1">
    <w:name w:val="М_СписокМарк_Уровень 1"/>
    <w:basedOn w:val="a1"/>
    <w:qFormat/>
    <w:pPr>
      <w:numPr>
        <w:numId w:val="7"/>
      </w:numPr>
      <w:tabs>
        <w:tab w:val="left" w:pos="540"/>
      </w:tabs>
      <w:spacing w:before="120"/>
      <w:jc w:val="both"/>
    </w:pPr>
    <w:rPr>
      <w:bCs/>
    </w:rPr>
  </w:style>
  <w:style w:type="character" w:customStyle="1" w:styleId="mw-headline4">
    <w:name w:val="mw-headline4"/>
    <w:basedOn w:val="a2"/>
  </w:style>
  <w:style w:type="paragraph" w:customStyle="1" w:styleId="affc">
    <w:name w:val="_ТаблПрил_№.и.Название"/>
    <w:next w:val="a1"/>
    <w:pPr>
      <w:keepNext/>
      <w:spacing w:before="120" w:after="120"/>
    </w:pPr>
    <w:rPr>
      <w:rFonts w:ascii="Times New Roman" w:eastAsia="Times New Roman" w:hAnsi="Times New Roman"/>
      <w:bCs/>
      <w:sz w:val="28"/>
    </w:rPr>
  </w:style>
  <w:style w:type="character" w:customStyle="1" w:styleId="urtxtstd">
    <w:name w:val="urtxtstd"/>
    <w:basedOn w:val="a2"/>
  </w:style>
  <w:style w:type="paragraph" w:customStyle="1" w:styleId="Sa">
    <w:name w:val="S_МестоГод"/>
    <w:basedOn w:val="S4"/>
    <w:pPr>
      <w:spacing w:before="120"/>
      <w:jc w:val="center"/>
    </w:pPr>
    <w:rPr>
      <w:rFonts w:ascii="Arial" w:hAnsi="Arial"/>
      <w:b/>
      <w:caps/>
      <w:sz w:val="18"/>
      <w:szCs w:val="18"/>
    </w:rPr>
  </w:style>
  <w:style w:type="paragraph" w:styleId="affd">
    <w:name w:val="Title"/>
    <w:basedOn w:val="a1"/>
    <w:link w:val="affe"/>
    <w:uiPriority w:val="10"/>
    <w:qFormat/>
    <w:pPr>
      <w:spacing w:before="100" w:beforeAutospacing="1" w:after="100" w:afterAutospacing="1"/>
    </w:pPr>
    <w:rPr>
      <w:rFonts w:eastAsia="Times New Roman"/>
      <w:szCs w:val="24"/>
      <w:lang w:eastAsia="ru-RU"/>
    </w:rPr>
  </w:style>
  <w:style w:type="character" w:customStyle="1" w:styleId="affe">
    <w:name w:val="Название Знак"/>
    <w:basedOn w:val="a2"/>
    <w:link w:val="affd"/>
    <w:uiPriority w:val="10"/>
    <w:rPr>
      <w:rFonts w:ascii="Times New Roman" w:eastAsia="Times New Roman" w:hAnsi="Times New Roman"/>
      <w:sz w:val="24"/>
      <w:szCs w:val="24"/>
    </w:rPr>
  </w:style>
  <w:style w:type="paragraph" w:customStyle="1" w:styleId="Sb">
    <w:name w:val="S_Версия"/>
    <w:basedOn w:val="S4"/>
    <w:next w:val="S4"/>
    <w:autoRedefine/>
    <w:pPr>
      <w:spacing w:before="120" w:after="120"/>
      <w:jc w:val="center"/>
    </w:pPr>
    <w:rPr>
      <w:rFonts w:ascii="Arial" w:hAnsi="Arial"/>
      <w:b/>
      <w:caps/>
      <w:sz w:val="20"/>
      <w:szCs w:val="20"/>
    </w:rPr>
  </w:style>
  <w:style w:type="paragraph" w:customStyle="1" w:styleId="Sc">
    <w:name w:val="S_ВерхКолонтитулТекст"/>
    <w:basedOn w:val="S4"/>
    <w:next w:val="S4"/>
    <w:pPr>
      <w:spacing w:before="120"/>
      <w:jc w:val="right"/>
    </w:pPr>
    <w:rPr>
      <w:rFonts w:ascii="Arial" w:hAnsi="Arial"/>
      <w:b/>
      <w:caps/>
      <w:sz w:val="10"/>
      <w:szCs w:val="10"/>
    </w:rPr>
  </w:style>
  <w:style w:type="paragraph" w:customStyle="1" w:styleId="Sd">
    <w:name w:val="S_ВидДокумента"/>
    <w:basedOn w:val="af9"/>
    <w:next w:val="S4"/>
    <w:link w:val="Se"/>
    <w:pPr>
      <w:spacing w:before="120" w:after="0"/>
      <w:jc w:val="right"/>
    </w:pPr>
    <w:rPr>
      <w:rFonts w:ascii="EuropeDemiC" w:hAnsi="EuropeDemiC" w:cs="Arial"/>
      <w:b/>
      <w:caps/>
      <w:sz w:val="36"/>
      <w:szCs w:val="36"/>
    </w:rPr>
  </w:style>
  <w:style w:type="character" w:customStyle="1" w:styleId="Se">
    <w:name w:val="S_ВидДокумента Знак"/>
    <w:link w:val="Sd"/>
    <w:rPr>
      <w:rFonts w:ascii="EuropeDemiC" w:eastAsia="Times New Roman" w:hAnsi="EuropeDemiC" w:cs="Arial"/>
      <w:b/>
      <w:caps/>
      <w:sz w:val="36"/>
      <w:szCs w:val="36"/>
    </w:rPr>
  </w:style>
  <w:style w:type="paragraph" w:customStyle="1" w:styleId="Sf">
    <w:name w:val="S_Гиперссылка"/>
    <w:basedOn w:val="S4"/>
    <w:rPr>
      <w:color w:val="0000FF"/>
      <w:u w:val="single"/>
    </w:rPr>
  </w:style>
  <w:style w:type="paragraph" w:customStyle="1" w:styleId="Sf0">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1"/>
    <w:next w:val="S4"/>
    <w:pPr>
      <w:keepNext/>
      <w:pageBreakBefore/>
      <w:jc w:val="both"/>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9"/>
      </w:numPr>
      <w:outlineLvl w:val="1"/>
    </w:pPr>
    <w:rPr>
      <w:rFonts w:ascii="Arial" w:hAnsi="Arial"/>
      <w:b/>
      <w:caps/>
    </w:rPr>
  </w:style>
  <w:style w:type="paragraph" w:customStyle="1" w:styleId="S1">
    <w:name w:val="S_Заголовок1_СписокН"/>
    <w:basedOn w:val="S13"/>
    <w:next w:val="S4"/>
    <w:pPr>
      <w:numPr>
        <w:numId w:val="10"/>
      </w:numPr>
    </w:pPr>
  </w:style>
  <w:style w:type="paragraph" w:customStyle="1" w:styleId="S23">
    <w:name w:val="S_Заголовок2"/>
    <w:basedOn w:val="a1"/>
    <w:next w:val="S4"/>
    <w:pPr>
      <w:keepNext/>
      <w:jc w:val="both"/>
      <w:outlineLvl w:val="1"/>
    </w:pPr>
    <w:rPr>
      <w:rFonts w:ascii="Arial" w:eastAsia="Times New Roman" w:hAnsi="Arial"/>
      <w:b/>
      <w:caps/>
      <w:szCs w:val="24"/>
      <w:lang w:eastAsia="ru-RU"/>
    </w:rPr>
  </w:style>
  <w:style w:type="paragraph" w:customStyle="1" w:styleId="S21">
    <w:name w:val="S_Заголовок2_Прил_СписокН"/>
    <w:basedOn w:val="S4"/>
    <w:next w:val="S4"/>
    <w:pPr>
      <w:keepNext/>
      <w:keepLines/>
      <w:numPr>
        <w:ilvl w:val="2"/>
        <w:numId w:val="9"/>
      </w:numPr>
      <w:tabs>
        <w:tab w:val="left" w:pos="720"/>
      </w:tabs>
      <w:jc w:val="left"/>
      <w:outlineLvl w:val="2"/>
    </w:pPr>
    <w:rPr>
      <w:rFonts w:ascii="Arial" w:hAnsi="Arial"/>
      <w:b/>
      <w:caps/>
      <w:szCs w:val="20"/>
    </w:rPr>
  </w:style>
  <w:style w:type="paragraph" w:customStyle="1" w:styleId="S20">
    <w:name w:val="S_Заголовок2_СписокН"/>
    <w:basedOn w:val="S23"/>
    <w:next w:val="S4"/>
    <w:pPr>
      <w:numPr>
        <w:ilvl w:val="1"/>
        <w:numId w:val="10"/>
      </w:numPr>
    </w:pPr>
  </w:style>
  <w:style w:type="paragraph" w:customStyle="1" w:styleId="Sf1">
    <w:name w:val="S_НазваниеРисунка"/>
    <w:basedOn w:val="a1"/>
    <w:next w:val="S4"/>
    <w:pPr>
      <w:spacing w:before="60"/>
      <w:jc w:val="center"/>
    </w:pPr>
    <w:rPr>
      <w:rFonts w:ascii="Arial" w:eastAsia="Times New Roman" w:hAnsi="Arial"/>
      <w:b/>
      <w:sz w:val="20"/>
      <w:szCs w:val="24"/>
      <w:lang w:eastAsia="ru-RU"/>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11"/>
      </w:numPr>
    </w:pPr>
  </w:style>
  <w:style w:type="paragraph" w:customStyle="1" w:styleId="S24">
    <w:name w:val="S_ТекстВТаблице2"/>
    <w:basedOn w:val="S4"/>
    <w:next w:val="S4"/>
    <w:pPr>
      <w:spacing w:before="120"/>
      <w:jc w:val="left"/>
    </w:pPr>
    <w:rPr>
      <w:sz w:val="20"/>
    </w:rPr>
  </w:style>
  <w:style w:type="paragraph" w:customStyle="1" w:styleId="S2">
    <w:name w:val="S_НумСписВТаблице2"/>
    <w:basedOn w:val="S24"/>
    <w:next w:val="S4"/>
    <w:pPr>
      <w:numPr>
        <w:numId w:val="12"/>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3"/>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character" w:customStyle="1" w:styleId="S6">
    <w:name w:val="S_СписокМ_Обычный Знак"/>
    <w:link w:val="S"/>
    <w:rPr>
      <w:rFonts w:ascii="Times New Roman" w:eastAsia="Times New Roman" w:hAnsi="Times New Roman"/>
      <w:sz w:val="24"/>
      <w:szCs w:val="24"/>
    </w:rPr>
  </w:style>
  <w:style w:type="table" w:customStyle="1" w:styleId="Sfa">
    <w:name w:val="S_Таблица"/>
    <w:basedOn w:val="a3"/>
    <w:rPr>
      <w:rFonts w:ascii="Times New Roman" w:eastAsia="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b/>
      <w:caps/>
    </w:rPr>
  </w:style>
  <w:style w:type="paragraph" w:customStyle="1" w:styleId="Sfc">
    <w:name w:val="S_Термин"/>
    <w:basedOn w:val="a1"/>
    <w:next w:val="S4"/>
    <w:link w:val="Sfd"/>
    <w:pPr>
      <w:jc w:val="both"/>
    </w:pPr>
    <w:rPr>
      <w:rFonts w:ascii="Arial" w:eastAsia="Times New Roman" w:hAnsi="Arial"/>
      <w:b/>
      <w:i/>
      <w:caps/>
      <w:sz w:val="20"/>
      <w:szCs w:val="20"/>
      <w:lang w:eastAsia="ru-RU"/>
    </w:rPr>
  </w:style>
  <w:style w:type="character" w:customStyle="1" w:styleId="Sfd">
    <w:name w:val="S_Термин Знак"/>
    <w:link w:val="Sfc"/>
    <w:rPr>
      <w:rFonts w:ascii="Arial" w:eastAsia="Times New Roman" w:hAnsi="Arial"/>
      <w:b/>
      <w:i/>
      <w:caps/>
    </w:rPr>
  </w:style>
  <w:style w:type="character" w:customStyle="1" w:styleId="210">
    <w:name w:val="Заголовок 2 Знак1"/>
    <w:uiPriority w:val="9"/>
    <w:rPr>
      <w:rFonts w:ascii="Arial" w:eastAsia="Calibri" w:hAnsi="Arial" w:cs="Arial"/>
      <w:b/>
      <w:bCs/>
      <w:iCs/>
      <w:caps/>
      <w:sz w:val="24"/>
      <w:szCs w:val="28"/>
    </w:rPr>
  </w:style>
  <w:style w:type="character" w:styleId="afff">
    <w:name w:val="FollowedHyperlink"/>
    <w:basedOn w:val="a2"/>
    <w:rPr>
      <w:color w:val="800080" w:themeColor="followedHyperlink"/>
      <w:u w:val="single"/>
    </w:rPr>
  </w:style>
  <w:style w:type="paragraph" w:customStyle="1" w:styleId="headertext">
    <w:name w:val="headertext"/>
    <w:basedOn w:val="a1"/>
    <w:pPr>
      <w:spacing w:before="100" w:beforeAutospacing="1" w:after="100" w:afterAutospacing="1"/>
    </w:pPr>
    <w:rPr>
      <w:rFonts w:eastAsia="Times New Roman"/>
      <w:szCs w:val="24"/>
      <w:lang w:eastAsia="ru-RU"/>
    </w:rPr>
  </w:style>
  <w:style w:type="character" w:customStyle="1" w:styleId="w">
    <w:name w:val="w"/>
    <w:basedOn w:val="a2"/>
  </w:style>
  <w:style w:type="paragraph" w:customStyle="1" w:styleId="afff0">
    <w:name w:val="Выделение текста ЛНД"/>
    <w:basedOn w:val="affb"/>
    <w:next w:val="affb"/>
    <w:link w:val="afff1"/>
    <w:pPr>
      <w:spacing w:after="240"/>
    </w:pPr>
    <w:rPr>
      <w:rFonts w:ascii="Arial" w:eastAsia="Times New Roman" w:hAnsi="Arial"/>
      <w:b/>
      <w:bCs/>
      <w:i/>
      <w:iCs/>
      <w:caps/>
      <w:sz w:val="20"/>
    </w:rPr>
  </w:style>
  <w:style w:type="character" w:customStyle="1" w:styleId="afff1">
    <w:name w:val="Выделение текста ЛНД Знак"/>
    <w:link w:val="afff0"/>
    <w:rPr>
      <w:rFonts w:ascii="Arial" w:eastAsia="Times New Roman" w:hAnsi="Arial"/>
      <w:b/>
      <w:bCs/>
      <w:i/>
      <w:iCs/>
      <w:caps/>
    </w:rPr>
  </w:style>
  <w:style w:type="numbering" w:customStyle="1" w:styleId="a0">
    <w:name w:val="Маркированный ЛНД"/>
    <w:pPr>
      <w:numPr>
        <w:numId w:val="25"/>
      </w:numPr>
    </w:pPr>
  </w:style>
  <w:style w:type="paragraph" w:styleId="afff2">
    <w:name w:val="No Spacing"/>
    <w:qFormat/>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uiPriority="9" w:qFormat="1"/>
    <w:lsdException w:name="heading 3" w:locked="1"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locked="1"/>
    <w:lsdException w:name="header" w:locked="1"/>
    <w:lsdException w:name="footer" w:locked="1"/>
    <w:lsdException w:name="caption" w:locked="1" w:qFormat="1"/>
    <w:lsdException w:name="footnote reference" w:locked="1"/>
    <w:lsdException w:name="annotation reference" w:locked="1" w:uiPriority="99"/>
    <w:lsdException w:name="List Bullet" w:locked="1"/>
    <w:lsdException w:name="List 2" w:locked="1"/>
    <w:lsdException w:name="Title" w:uiPriority="10" w:qFormat="1"/>
    <w:lsdException w:name="Default Paragraph Font" w:locked="1"/>
    <w:lsdException w:name="Body Text" w:locked="1"/>
    <w:lsdException w:name="Subtitle" w:qFormat="1"/>
    <w:lsdException w:name="Body Text 3" w:locked="1"/>
    <w:lsdException w:name="Body Text Indent 2" w:locked="1"/>
    <w:lsdException w:name="Body Text Indent 3" w:locked="1"/>
    <w:lsdException w:name="Hyperlink" w:locked="1" w:uiPriority="99"/>
    <w:lsdException w:name="Strong" w:locked="1" w:uiPriority="22" w:qFormat="1"/>
    <w:lsdException w:name="Emphasis" w:locked="1" w:qFormat="1"/>
    <w:lsdException w:name="Plain Text" w:locked="1" w:uiPriority="99"/>
    <w:lsdException w:name="HTML Top of Form" w:locked="1"/>
    <w:lsdException w:name="HTML Bottom of Form" w:locked="1"/>
    <w:lsdException w:name="Normal (Web)" w:locked="1" w:uiPriority="99"/>
    <w:lsdException w:name="Normal Table" w:locked="1"/>
    <w:lsdException w:name="annotation subject" w:locked="1"/>
    <w:lsdException w:name="No Lis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link w:val="1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uiPriority w:val="9"/>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4C3924"/>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locked/>
    <w:rsid w:val="00273BA2"/>
    <w:rPr>
      <w:rFonts w:ascii="Cambria" w:hAnsi="Cambria" w:cs="Times New Roman"/>
      <w:b/>
      <w:bCs/>
      <w:kern w:val="32"/>
      <w:sz w:val="32"/>
      <w:szCs w:val="32"/>
      <w:lang w:eastAsia="en-US"/>
    </w:rPr>
  </w:style>
  <w:style w:type="character" w:customStyle="1" w:styleId="21">
    <w:name w:val="Заголовок 2 Знак"/>
    <w:basedOn w:val="a2"/>
    <w:link w:val="20"/>
    <w:locked/>
    <w:rsid w:val="00B34432"/>
    <w:rPr>
      <w:rFonts w:ascii="Arial" w:hAnsi="Arial" w:cs="Times New Roman"/>
      <w:b/>
      <w:i/>
      <w:sz w:val="28"/>
      <w:lang w:eastAsia="en-US"/>
    </w:rPr>
  </w:style>
  <w:style w:type="paragraph" w:styleId="a5">
    <w:name w:val="header"/>
    <w:basedOn w:val="a1"/>
    <w:link w:val="a6"/>
    <w:rsid w:val="000D7C6A"/>
    <w:pPr>
      <w:tabs>
        <w:tab w:val="center" w:pos="4677"/>
        <w:tab w:val="right" w:pos="9355"/>
      </w:tabs>
    </w:pPr>
  </w:style>
  <w:style w:type="character" w:customStyle="1" w:styleId="a6">
    <w:name w:val="Верхний колонтитул Знак"/>
    <w:basedOn w:val="a2"/>
    <w:link w:val="a5"/>
    <w:locked/>
    <w:rsid w:val="000D7C6A"/>
    <w:rPr>
      <w:rFonts w:cs="Times New Roman"/>
    </w:rPr>
  </w:style>
  <w:style w:type="paragraph" w:styleId="a7">
    <w:name w:val="footer"/>
    <w:basedOn w:val="a1"/>
    <w:link w:val="a8"/>
    <w:rsid w:val="000D7C6A"/>
    <w:pPr>
      <w:tabs>
        <w:tab w:val="center" w:pos="4677"/>
        <w:tab w:val="right" w:pos="9355"/>
      </w:tabs>
    </w:pPr>
  </w:style>
  <w:style w:type="character" w:customStyle="1" w:styleId="a8">
    <w:name w:val="Нижний колонтитул Знак"/>
    <w:basedOn w:val="a2"/>
    <w:link w:val="a7"/>
    <w:locked/>
    <w:rsid w:val="000D7C6A"/>
    <w:rPr>
      <w:rFonts w:cs="Times New Roman"/>
    </w:rPr>
  </w:style>
  <w:style w:type="paragraph" w:customStyle="1" w:styleId="12">
    <w:name w:val="Без интервала1"/>
    <w:rsid w:val="000E571E"/>
    <w:rPr>
      <w:sz w:val="22"/>
      <w:szCs w:val="22"/>
      <w:lang w:eastAsia="en-US"/>
    </w:rPr>
  </w:style>
  <w:style w:type="paragraph" w:styleId="a9">
    <w:name w:val="caption"/>
    <w:basedOn w:val="a1"/>
    <w:qFormat/>
    <w:rsid w:val="008B3B41"/>
    <w:pPr>
      <w:spacing w:before="100" w:beforeAutospacing="1" w:after="100" w:afterAutospacing="1"/>
    </w:pPr>
    <w:rPr>
      <w:rFonts w:eastAsia="Times New Roman"/>
      <w:szCs w:val="24"/>
      <w:lang w:eastAsia="ru-RU"/>
    </w:rPr>
  </w:style>
  <w:style w:type="paragraph" w:styleId="13">
    <w:name w:val="toc 1"/>
    <w:basedOn w:val="a1"/>
    <w:next w:val="a1"/>
    <w:autoRedefine/>
    <w:uiPriority w:val="39"/>
    <w:rsid w:val="00290818"/>
    <w:pPr>
      <w:tabs>
        <w:tab w:val="right" w:leader="dot" w:pos="9720"/>
      </w:tabs>
      <w:spacing w:before="240" w:after="240"/>
      <w:ind w:left="567" w:hanging="567"/>
    </w:pPr>
    <w:rPr>
      <w:rFonts w:ascii="Arial" w:hAnsi="Arial" w:cs="Arial"/>
      <w:b/>
      <w:bCs/>
      <w:caps/>
      <w:noProof/>
      <w:szCs w:val="24"/>
    </w:rPr>
  </w:style>
  <w:style w:type="paragraph" w:styleId="22">
    <w:name w:val="toc 2"/>
    <w:basedOn w:val="a1"/>
    <w:next w:val="a1"/>
    <w:autoRedefine/>
    <w:uiPriority w:val="39"/>
    <w:rsid w:val="00886AB6"/>
    <w:pPr>
      <w:tabs>
        <w:tab w:val="right" w:leader="dot" w:pos="9720"/>
        <w:tab w:val="right" w:leader="dot" w:pos="9855"/>
      </w:tabs>
      <w:spacing w:before="240"/>
      <w:ind w:firstLine="360"/>
    </w:pPr>
    <w:rPr>
      <w:rFonts w:ascii="Arial" w:hAnsi="Arial" w:cs="Arial"/>
      <w:b/>
      <w:bCs/>
      <w:noProof/>
      <w:sz w:val="22"/>
    </w:rPr>
  </w:style>
  <w:style w:type="paragraph" w:styleId="31">
    <w:name w:val="toc 3"/>
    <w:basedOn w:val="a1"/>
    <w:next w:val="a1"/>
    <w:autoRedefine/>
    <w:semiHidden/>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a">
    <w:name w:val="Hyperlink"/>
    <w:basedOn w:val="a2"/>
    <w:uiPriority w:val="99"/>
    <w:rsid w:val="008B3B41"/>
    <w:rPr>
      <w:rFonts w:cs="Times New Roman"/>
      <w:color w:val="0000FF"/>
      <w:u w:val="single"/>
    </w:rPr>
  </w:style>
  <w:style w:type="character" w:styleId="ab">
    <w:name w:val="annotation reference"/>
    <w:basedOn w:val="a2"/>
    <w:uiPriority w:val="99"/>
    <w:rsid w:val="00C851FA"/>
    <w:rPr>
      <w:rFonts w:cs="Times New Roman"/>
      <w:sz w:val="16"/>
    </w:rPr>
  </w:style>
  <w:style w:type="paragraph" w:styleId="ac">
    <w:name w:val="annotation text"/>
    <w:basedOn w:val="a1"/>
    <w:link w:val="ad"/>
    <w:rsid w:val="00C851FA"/>
    <w:rPr>
      <w:sz w:val="20"/>
      <w:szCs w:val="20"/>
    </w:rPr>
  </w:style>
  <w:style w:type="character" w:customStyle="1" w:styleId="ad">
    <w:name w:val="Текст примечания Знак"/>
    <w:basedOn w:val="a2"/>
    <w:link w:val="ac"/>
    <w:locked/>
    <w:rsid w:val="001C05C3"/>
    <w:rPr>
      <w:rFonts w:ascii="Times New Roman" w:hAnsi="Times New Roman" w:cs="Times New Roman"/>
      <w:lang w:eastAsia="en-US"/>
    </w:rPr>
  </w:style>
  <w:style w:type="paragraph" w:styleId="ae">
    <w:name w:val="annotation subject"/>
    <w:basedOn w:val="ac"/>
    <w:next w:val="ac"/>
    <w:link w:val="af"/>
    <w:semiHidden/>
    <w:rsid w:val="00C851FA"/>
    <w:rPr>
      <w:b/>
      <w:bCs/>
    </w:rPr>
  </w:style>
  <w:style w:type="character" w:customStyle="1" w:styleId="af">
    <w:name w:val="Тема примечания Знак"/>
    <w:basedOn w:val="ad"/>
    <w:link w:val="ae"/>
    <w:semiHidden/>
    <w:locked/>
    <w:rsid w:val="00273BA2"/>
    <w:rPr>
      <w:rFonts w:ascii="Times New Roman" w:hAnsi="Times New Roman" w:cs="Times New Roman"/>
      <w:b/>
      <w:bCs/>
      <w:sz w:val="20"/>
      <w:szCs w:val="20"/>
      <w:lang w:eastAsia="en-US"/>
    </w:rPr>
  </w:style>
  <w:style w:type="paragraph" w:styleId="af0">
    <w:name w:val="Balloon Text"/>
    <w:basedOn w:val="a1"/>
    <w:link w:val="af1"/>
    <w:semiHidden/>
    <w:rsid w:val="00C851FA"/>
    <w:rPr>
      <w:rFonts w:ascii="Tahoma" w:hAnsi="Tahoma" w:cs="Tahoma"/>
      <w:sz w:val="16"/>
      <w:szCs w:val="16"/>
    </w:rPr>
  </w:style>
  <w:style w:type="character" w:customStyle="1" w:styleId="af1">
    <w:name w:val="Текст выноски Знак"/>
    <w:basedOn w:val="a2"/>
    <w:link w:val="af0"/>
    <w:semiHidden/>
    <w:locked/>
    <w:rsid w:val="00273BA2"/>
    <w:rPr>
      <w:rFonts w:ascii="Times New Roman" w:hAnsi="Times New Roman" w:cs="Times New Roman"/>
      <w:sz w:val="2"/>
      <w:lang w:eastAsia="en-US"/>
    </w:rPr>
  </w:style>
  <w:style w:type="paragraph" w:styleId="32">
    <w:name w:val="Body Text 3"/>
    <w:basedOn w:val="a1"/>
    <w:link w:val="33"/>
    <w:rsid w:val="00642C4B"/>
    <w:pPr>
      <w:spacing w:before="240" w:after="240"/>
      <w:jc w:val="both"/>
    </w:pPr>
    <w:rPr>
      <w:rFonts w:eastAsia="Times New Roman"/>
      <w:szCs w:val="24"/>
      <w:lang w:eastAsia="ru-RU"/>
    </w:rPr>
  </w:style>
  <w:style w:type="character" w:customStyle="1" w:styleId="33">
    <w:name w:val="Основной текст 3 Знак"/>
    <w:basedOn w:val="a2"/>
    <w:link w:val="32"/>
    <w:semiHidden/>
    <w:locked/>
    <w:rsid w:val="00273BA2"/>
    <w:rPr>
      <w:rFonts w:ascii="Times New Roman" w:hAnsi="Times New Roman" w:cs="Times New Roman"/>
      <w:sz w:val="16"/>
      <w:szCs w:val="16"/>
      <w:lang w:eastAsia="en-US"/>
    </w:rPr>
  </w:style>
  <w:style w:type="paragraph" w:customStyle="1" w:styleId="af2">
    <w:name w:val="ФИО"/>
    <w:basedOn w:val="a1"/>
    <w:rsid w:val="00642C4B"/>
    <w:pPr>
      <w:spacing w:after="180"/>
      <w:ind w:left="5670"/>
      <w:jc w:val="both"/>
    </w:pPr>
    <w:rPr>
      <w:rFonts w:eastAsia="Times New Roman"/>
      <w:szCs w:val="20"/>
      <w:lang w:eastAsia="ru-RU"/>
    </w:rPr>
  </w:style>
  <w:style w:type="paragraph" w:styleId="af3">
    <w:name w:val="footnote text"/>
    <w:basedOn w:val="a1"/>
    <w:link w:val="af4"/>
    <w:semiHidden/>
    <w:rsid w:val="00642C4B"/>
    <w:rPr>
      <w:rFonts w:eastAsia="Times New Roman"/>
      <w:sz w:val="20"/>
      <w:szCs w:val="20"/>
      <w:lang w:eastAsia="ru-RU"/>
    </w:rPr>
  </w:style>
  <w:style w:type="character" w:customStyle="1" w:styleId="af4">
    <w:name w:val="Текст сноски Знак"/>
    <w:basedOn w:val="a2"/>
    <w:link w:val="af3"/>
    <w:semiHidden/>
    <w:locked/>
    <w:rsid w:val="00273BA2"/>
    <w:rPr>
      <w:rFonts w:ascii="Times New Roman" w:hAnsi="Times New Roman" w:cs="Times New Roman"/>
      <w:sz w:val="20"/>
      <w:szCs w:val="20"/>
      <w:lang w:eastAsia="en-US"/>
    </w:rPr>
  </w:style>
  <w:style w:type="paragraph" w:customStyle="1" w:styleId="af5">
    <w:name w:val="Текст таблица"/>
    <w:basedOn w:val="a1"/>
    <w:rsid w:val="00642C4B"/>
    <w:pPr>
      <w:numPr>
        <w:ilvl w:val="12"/>
      </w:numPr>
      <w:spacing w:before="60"/>
    </w:pPr>
    <w:rPr>
      <w:rFonts w:eastAsia="Times New Roman"/>
      <w:iCs/>
      <w:sz w:val="22"/>
      <w:szCs w:val="20"/>
      <w:lang w:eastAsia="ru-RU"/>
    </w:rPr>
  </w:style>
  <w:style w:type="character" w:styleId="af6">
    <w:name w:val="footnote reference"/>
    <w:basedOn w:val="a2"/>
    <w:semiHidden/>
    <w:rsid w:val="00642C4B"/>
    <w:rPr>
      <w:rFonts w:cs="Times New Roman"/>
      <w:vertAlign w:val="superscript"/>
    </w:rPr>
  </w:style>
  <w:style w:type="paragraph" w:styleId="2">
    <w:name w:val="List 2"/>
    <w:basedOn w:val="a1"/>
    <w:rsid w:val="00642C4B"/>
    <w:pPr>
      <w:widowControl w:val="0"/>
      <w:numPr>
        <w:numId w:val="3"/>
      </w:numPr>
      <w:overflowPunct w:val="0"/>
      <w:autoSpaceDE w:val="0"/>
      <w:autoSpaceDN w:val="0"/>
      <w:adjustRightInd w:val="0"/>
      <w:spacing w:before="60"/>
      <w:jc w:val="both"/>
      <w:textAlignment w:val="baseline"/>
    </w:pPr>
    <w:rPr>
      <w:rFonts w:eastAsia="Times New Roman"/>
      <w:szCs w:val="20"/>
      <w:lang w:eastAsia="ru-RU"/>
    </w:rPr>
  </w:style>
  <w:style w:type="character" w:styleId="af7">
    <w:name w:val="Strong"/>
    <w:basedOn w:val="a2"/>
    <w:uiPriority w:val="22"/>
    <w:qFormat/>
    <w:rsid w:val="00642C4B"/>
    <w:rPr>
      <w:rFonts w:cs="Times New Roman"/>
      <w:b/>
    </w:rPr>
  </w:style>
  <w:style w:type="paragraph" w:styleId="34">
    <w:name w:val="Body Text Indent 3"/>
    <w:basedOn w:val="a1"/>
    <w:link w:val="35"/>
    <w:rsid w:val="001542C7"/>
    <w:pPr>
      <w:spacing w:after="120"/>
      <w:ind w:left="283"/>
    </w:pPr>
    <w:rPr>
      <w:rFonts w:eastAsia="Times New Roman"/>
      <w:sz w:val="16"/>
      <w:szCs w:val="16"/>
      <w:lang w:eastAsia="ru-RU"/>
    </w:rPr>
  </w:style>
  <w:style w:type="character" w:customStyle="1" w:styleId="35">
    <w:name w:val="Основной текст с отступом 3 Знак"/>
    <w:basedOn w:val="a2"/>
    <w:link w:val="34"/>
    <w:semiHidden/>
    <w:locked/>
    <w:rsid w:val="00273BA2"/>
    <w:rPr>
      <w:rFonts w:ascii="Times New Roman" w:hAnsi="Times New Roman" w:cs="Times New Roman"/>
      <w:sz w:val="16"/>
      <w:szCs w:val="16"/>
      <w:lang w:eastAsia="en-US"/>
    </w:rPr>
  </w:style>
  <w:style w:type="character" w:customStyle="1" w:styleId="S0">
    <w:name w:val="S_Обозначение"/>
    <w:rsid w:val="00523CAF"/>
    <w:rPr>
      <w:rFonts w:ascii="Arial" w:hAnsi="Arial"/>
      <w:b/>
      <w:i/>
      <w:sz w:val="24"/>
      <w:vertAlign w:val="baseline"/>
      <w:lang w:val="ru-RU" w:eastAsia="ru-RU"/>
    </w:rPr>
  </w:style>
  <w:style w:type="paragraph" w:styleId="af8">
    <w:name w:val="Normal (Web)"/>
    <w:basedOn w:val="a1"/>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rPr>
      <w:rFonts w:cs="Times New Roman"/>
    </w:rPr>
  </w:style>
  <w:style w:type="character" w:customStyle="1" w:styleId="36">
    <w:name w:val="Знак Знак3"/>
    <w:semiHidden/>
    <w:rsid w:val="0084209F"/>
    <w:rPr>
      <w:sz w:val="24"/>
      <w:lang w:val="ru-RU" w:eastAsia="ru-RU"/>
    </w:rPr>
  </w:style>
  <w:style w:type="character" w:customStyle="1" w:styleId="23">
    <w:name w:val="Знак Знак2"/>
    <w:semiHidden/>
    <w:rsid w:val="005D5FE6"/>
    <w:rPr>
      <w:sz w:val="24"/>
      <w:lang w:val="ru-RU" w:eastAsia="ru-RU"/>
    </w:rPr>
  </w:style>
  <w:style w:type="paragraph" w:styleId="af9">
    <w:name w:val="Body Text"/>
    <w:basedOn w:val="a1"/>
    <w:link w:val="afa"/>
    <w:rsid w:val="00B34432"/>
    <w:pPr>
      <w:spacing w:after="120"/>
    </w:pPr>
    <w:rPr>
      <w:rFonts w:eastAsia="Times New Roman"/>
      <w:szCs w:val="24"/>
      <w:lang w:eastAsia="ru-RU"/>
    </w:rPr>
  </w:style>
  <w:style w:type="character" w:customStyle="1" w:styleId="afa">
    <w:name w:val="Основной текст Знак"/>
    <w:basedOn w:val="a2"/>
    <w:link w:val="af9"/>
    <w:locked/>
    <w:rsid w:val="00B34432"/>
    <w:rPr>
      <w:rFonts w:ascii="Times New Roman" w:hAnsi="Times New Roman" w:cs="Times New Roman"/>
      <w:sz w:val="24"/>
    </w:rPr>
  </w:style>
  <w:style w:type="paragraph" w:customStyle="1" w:styleId="S4">
    <w:name w:val="S_Обычный"/>
    <w:basedOn w:val="a1"/>
    <w:link w:val="S5"/>
    <w:rsid w:val="001C4192"/>
    <w:pPr>
      <w:widowControl w:val="0"/>
      <w:jc w:val="both"/>
    </w:pPr>
    <w:rPr>
      <w:rFonts w:eastAsia="Times New Roman"/>
      <w:szCs w:val="24"/>
      <w:lang w:eastAsia="ru-RU"/>
    </w:rPr>
  </w:style>
  <w:style w:type="character" w:customStyle="1" w:styleId="S5">
    <w:name w:val="S_Обычный Знак"/>
    <w:link w:val="S4"/>
    <w:locked/>
    <w:rsid w:val="001C4192"/>
    <w:rPr>
      <w:rFonts w:ascii="Times New Roman" w:eastAsia="Times New Roman" w:hAnsi="Times New Roman"/>
      <w:sz w:val="24"/>
      <w:szCs w:val="24"/>
    </w:rPr>
  </w:style>
  <w:style w:type="paragraph" w:customStyle="1" w:styleId="S">
    <w:name w:val="S_СписокМ_Обычный"/>
    <w:basedOn w:val="a1"/>
    <w:next w:val="S4"/>
    <w:link w:val="S6"/>
    <w:rsid w:val="001C4192"/>
    <w:pPr>
      <w:numPr>
        <w:numId w:val="14"/>
      </w:numPr>
      <w:tabs>
        <w:tab w:val="left" w:pos="720"/>
      </w:tabs>
      <w:spacing w:before="120"/>
      <w:jc w:val="both"/>
    </w:pPr>
    <w:rPr>
      <w:rFonts w:eastAsia="Times New Roman"/>
      <w:szCs w:val="24"/>
      <w:lang w:eastAsia="ru-RU"/>
    </w:rPr>
  </w:style>
  <w:style w:type="character" w:customStyle="1" w:styleId="S7">
    <w:name w:val="S_СписокМ_Обычный Знак Знак"/>
    <w:locked/>
    <w:rsid w:val="00B34432"/>
    <w:rPr>
      <w:rFonts w:ascii="Times New Roman" w:hAnsi="Times New Roman"/>
      <w:sz w:val="24"/>
    </w:rPr>
  </w:style>
  <w:style w:type="paragraph" w:customStyle="1" w:styleId="afb">
    <w:name w:val="Текст МУ"/>
    <w:basedOn w:val="a1"/>
    <w:rsid w:val="00B34432"/>
    <w:pPr>
      <w:suppressAutoHyphens/>
      <w:spacing w:before="180" w:after="120"/>
      <w:jc w:val="both"/>
    </w:pPr>
    <w:rPr>
      <w:rFonts w:eastAsia="Times New Roman"/>
      <w:szCs w:val="20"/>
      <w:lang w:eastAsia="ar-SA"/>
    </w:rPr>
  </w:style>
  <w:style w:type="paragraph" w:customStyle="1" w:styleId="14">
    <w:name w:val="Список 1"/>
    <w:basedOn w:val="a"/>
    <w:link w:val="15"/>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szCs w:val="20"/>
    </w:rPr>
  </w:style>
  <w:style w:type="character" w:customStyle="1" w:styleId="15">
    <w:name w:val="Список 1 Знак"/>
    <w:link w:val="14"/>
    <w:locked/>
    <w:rsid w:val="00D57D98"/>
    <w:rPr>
      <w:rFonts w:ascii="Times New Roman" w:hAnsi="Times New Roman"/>
      <w:sz w:val="24"/>
    </w:rPr>
  </w:style>
  <w:style w:type="paragraph" w:styleId="a">
    <w:name w:val="List Bullet"/>
    <w:basedOn w:val="a1"/>
    <w:semiHidden/>
    <w:rsid w:val="00D57D98"/>
    <w:pPr>
      <w:numPr>
        <w:numId w:val="1"/>
      </w:numPr>
      <w:contextualSpacing/>
    </w:pPr>
  </w:style>
  <w:style w:type="paragraph" w:customStyle="1" w:styleId="16">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c">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paragraph" w:styleId="17">
    <w:name w:val="index 1"/>
    <w:basedOn w:val="a1"/>
    <w:next w:val="a1"/>
    <w:autoRedefine/>
    <w:semiHidden/>
    <w:rsid w:val="00384E85"/>
    <w:pPr>
      <w:jc w:val="both"/>
    </w:pPr>
    <w:rPr>
      <w:rFonts w:eastAsia="Times New Roman"/>
      <w:szCs w:val="24"/>
      <w:lang w:eastAsia="ru-RU"/>
    </w:rPr>
  </w:style>
  <w:style w:type="paragraph" w:customStyle="1" w:styleId="afd">
    <w:name w:val="М_Обычный"/>
    <w:basedOn w:val="a1"/>
    <w:rsid w:val="00DA416F"/>
    <w:pPr>
      <w:jc w:val="both"/>
    </w:pPr>
    <w:rPr>
      <w:lang w:eastAsia="ru-RU"/>
    </w:rPr>
  </w:style>
  <w:style w:type="paragraph" w:customStyle="1" w:styleId="18">
    <w:name w:val="Абзац списка1"/>
    <w:basedOn w:val="a1"/>
    <w:rsid w:val="00D15C64"/>
    <w:pPr>
      <w:spacing w:after="200" w:line="276" w:lineRule="auto"/>
      <w:ind w:left="720"/>
      <w:contextualSpacing/>
    </w:pPr>
    <w:rPr>
      <w:rFonts w:ascii="Calibri" w:hAnsi="Calibri"/>
      <w:sz w:val="22"/>
    </w:rPr>
  </w:style>
  <w:style w:type="character" w:customStyle="1" w:styleId="afe">
    <w:name w:val="Цветовое выделение"/>
    <w:uiPriority w:val="99"/>
    <w:rsid w:val="004911A1"/>
    <w:rPr>
      <w:b/>
      <w:color w:val="26282F"/>
    </w:rPr>
  </w:style>
  <w:style w:type="paragraph" w:customStyle="1" w:styleId="aff">
    <w:name w:val="Нормальный (таблица)"/>
    <w:basedOn w:val="a1"/>
    <w:next w:val="a1"/>
    <w:uiPriority w:val="99"/>
    <w:rsid w:val="004911A1"/>
    <w:pPr>
      <w:widowControl w:val="0"/>
      <w:autoSpaceDE w:val="0"/>
      <w:autoSpaceDN w:val="0"/>
      <w:adjustRightInd w:val="0"/>
      <w:jc w:val="both"/>
    </w:pPr>
    <w:rPr>
      <w:rFonts w:ascii="Arial" w:eastAsia="Times New Roman" w:hAnsi="Arial" w:cs="Arial"/>
      <w:szCs w:val="24"/>
      <w:lang w:eastAsia="ru-RU"/>
    </w:rPr>
  </w:style>
  <w:style w:type="paragraph" w:customStyle="1" w:styleId="aff0">
    <w:name w:val="Прижатый влево"/>
    <w:basedOn w:val="a1"/>
    <w:next w:val="a1"/>
    <w:uiPriority w:val="99"/>
    <w:rsid w:val="004911A1"/>
    <w:pPr>
      <w:widowControl w:val="0"/>
      <w:autoSpaceDE w:val="0"/>
      <w:autoSpaceDN w:val="0"/>
      <w:adjustRightInd w:val="0"/>
    </w:pPr>
    <w:rPr>
      <w:rFonts w:ascii="Arial" w:eastAsia="Times New Roman" w:hAnsi="Arial" w:cs="Arial"/>
      <w:szCs w:val="24"/>
      <w:lang w:eastAsia="ru-RU"/>
    </w:rPr>
  </w:style>
  <w:style w:type="character" w:customStyle="1" w:styleId="aff1">
    <w:name w:val="Гипертекстовая ссылка"/>
    <w:basedOn w:val="afe"/>
    <w:uiPriority w:val="99"/>
    <w:rsid w:val="00602D64"/>
    <w:rPr>
      <w:rFonts w:cs="Times New Roman"/>
      <w:b/>
      <w:bCs/>
      <w:color w:val="106BBE"/>
    </w:rPr>
  </w:style>
  <w:style w:type="character" w:customStyle="1" w:styleId="tgc">
    <w:name w:val="_tgc"/>
    <w:basedOn w:val="a2"/>
    <w:rsid w:val="00F708FC"/>
    <w:rPr>
      <w:rFonts w:cs="Times New Roman"/>
    </w:rPr>
  </w:style>
  <w:style w:type="character" w:styleId="aff2">
    <w:name w:val="Emphasis"/>
    <w:basedOn w:val="a2"/>
    <w:qFormat/>
    <w:rsid w:val="00077321"/>
    <w:rPr>
      <w:rFonts w:cs="Times New Roman"/>
      <w:i/>
      <w:iCs/>
    </w:rPr>
  </w:style>
  <w:style w:type="paragraph" w:styleId="25">
    <w:name w:val="Body Text Indent 2"/>
    <w:basedOn w:val="a1"/>
    <w:link w:val="26"/>
    <w:rsid w:val="00AC6321"/>
    <w:pPr>
      <w:spacing w:after="120" w:line="480" w:lineRule="auto"/>
      <w:ind w:left="283"/>
    </w:pPr>
  </w:style>
  <w:style w:type="character" w:customStyle="1" w:styleId="26">
    <w:name w:val="Основной текст с отступом 2 Знак"/>
    <w:basedOn w:val="a2"/>
    <w:link w:val="25"/>
    <w:semiHidden/>
    <w:locked/>
    <w:rsid w:val="00273BA2"/>
    <w:rPr>
      <w:rFonts w:ascii="Times New Roman" w:hAnsi="Times New Roman" w:cs="Times New Roman"/>
      <w:sz w:val="24"/>
      <w:lang w:eastAsia="en-US"/>
    </w:rPr>
  </w:style>
  <w:style w:type="paragraph" w:customStyle="1" w:styleId="Heading">
    <w:name w:val="Heading"/>
    <w:rsid w:val="00AC6321"/>
    <w:pPr>
      <w:widowControl w:val="0"/>
      <w:suppressAutoHyphens/>
      <w:autoSpaceDE w:val="0"/>
    </w:pPr>
    <w:rPr>
      <w:rFonts w:ascii="Arial" w:eastAsia="Times New Roman" w:hAnsi="Arial" w:cs="Arial"/>
      <w:b/>
      <w:bCs/>
      <w:kern w:val="1"/>
      <w:sz w:val="22"/>
      <w:szCs w:val="22"/>
      <w:lang w:eastAsia="ar-SA"/>
    </w:rPr>
  </w:style>
  <w:style w:type="character" w:customStyle="1" w:styleId="gr-letter">
    <w:name w:val="gr-letter"/>
    <w:basedOn w:val="a2"/>
    <w:rsid w:val="00206321"/>
  </w:style>
  <w:style w:type="paragraph" w:customStyle="1" w:styleId="ConsPlusNormal">
    <w:name w:val="ConsPlusNormal"/>
    <w:rsid w:val="00206321"/>
    <w:pPr>
      <w:widowControl w:val="0"/>
      <w:autoSpaceDE w:val="0"/>
      <w:autoSpaceDN w:val="0"/>
      <w:adjustRightInd w:val="0"/>
      <w:ind w:firstLine="720"/>
    </w:pPr>
    <w:rPr>
      <w:rFonts w:ascii="Arial" w:eastAsia="Times New Roman" w:hAnsi="Arial" w:cs="Arial"/>
    </w:rPr>
  </w:style>
  <w:style w:type="paragraph" w:customStyle="1" w:styleId="aff3">
    <w:name w:val="Напишите нам"/>
    <w:basedOn w:val="a1"/>
    <w:next w:val="a1"/>
    <w:uiPriority w:val="99"/>
    <w:rsid w:val="00E7086B"/>
    <w:pPr>
      <w:autoSpaceDE w:val="0"/>
      <w:autoSpaceDN w:val="0"/>
      <w:adjustRightInd w:val="0"/>
      <w:spacing w:before="90" w:after="90"/>
      <w:ind w:left="180" w:right="180"/>
      <w:jc w:val="both"/>
    </w:pPr>
    <w:rPr>
      <w:rFonts w:ascii="Arial" w:hAnsi="Arial" w:cs="Arial"/>
      <w:sz w:val="20"/>
      <w:szCs w:val="20"/>
      <w:shd w:val="clear" w:color="auto" w:fill="EFFFAD"/>
      <w:lang w:eastAsia="ru-RU"/>
    </w:rPr>
  </w:style>
  <w:style w:type="table" w:styleId="aff4">
    <w:name w:val="Table Grid"/>
    <w:basedOn w:val="a3"/>
    <w:rsid w:val="00C838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aliases w:val="lp1,Bullet List,FooterText,numbered,Paragraphe de liste1,Bullet_IRAO,Мой Список"/>
    <w:basedOn w:val="a1"/>
    <w:link w:val="aff6"/>
    <w:uiPriority w:val="34"/>
    <w:qFormat/>
    <w:rsid w:val="000C5B4C"/>
    <w:pPr>
      <w:ind w:left="720"/>
      <w:contextualSpacing/>
    </w:pPr>
  </w:style>
  <w:style w:type="character" w:customStyle="1" w:styleId="aff6">
    <w:name w:val="Абзац списка Знак"/>
    <w:aliases w:val="lp1 Знак,Bullet List Знак,FooterText Знак,numbered Знак,Paragraphe de liste1 Знак,Bullet_IRAO Знак,Мой Список Знак"/>
    <w:link w:val="aff5"/>
    <w:uiPriority w:val="34"/>
    <w:locked/>
    <w:rsid w:val="00CE46DA"/>
    <w:rPr>
      <w:rFonts w:ascii="Times New Roman" w:hAnsi="Times New Roman"/>
      <w:sz w:val="24"/>
      <w:szCs w:val="22"/>
      <w:lang w:eastAsia="en-US"/>
    </w:rPr>
  </w:style>
  <w:style w:type="character" w:customStyle="1" w:styleId="30">
    <w:name w:val="Заголовок 3 Знак"/>
    <w:basedOn w:val="a2"/>
    <w:link w:val="3"/>
    <w:semiHidden/>
    <w:rsid w:val="004C3924"/>
    <w:rPr>
      <w:rFonts w:asciiTheme="majorHAnsi" w:eastAsiaTheme="majorEastAsia" w:hAnsiTheme="majorHAnsi" w:cstheme="majorBidi"/>
      <w:b/>
      <w:bCs/>
      <w:color w:val="4F81BD" w:themeColor="accent1"/>
      <w:sz w:val="24"/>
      <w:szCs w:val="22"/>
      <w:lang w:eastAsia="en-US"/>
    </w:rPr>
  </w:style>
  <w:style w:type="character" w:customStyle="1" w:styleId="st">
    <w:name w:val="st"/>
    <w:basedOn w:val="a2"/>
    <w:rsid w:val="00C35D91"/>
  </w:style>
  <w:style w:type="paragraph" w:styleId="aff7">
    <w:name w:val="Plain Text"/>
    <w:basedOn w:val="a1"/>
    <w:link w:val="aff8"/>
    <w:uiPriority w:val="99"/>
    <w:unhideWhenUsed/>
    <w:rsid w:val="00DC13AF"/>
    <w:rPr>
      <w:rFonts w:ascii="Calibri" w:eastAsiaTheme="minorHAnsi" w:hAnsi="Calibri" w:cstheme="minorBidi"/>
      <w:sz w:val="22"/>
      <w:szCs w:val="21"/>
    </w:rPr>
  </w:style>
  <w:style w:type="character" w:customStyle="1" w:styleId="aff8">
    <w:name w:val="Текст Знак"/>
    <w:basedOn w:val="a2"/>
    <w:link w:val="aff7"/>
    <w:uiPriority w:val="99"/>
    <w:rsid w:val="00DC13AF"/>
    <w:rPr>
      <w:rFonts w:eastAsiaTheme="minorHAnsi" w:cstheme="minorBidi"/>
      <w:sz w:val="22"/>
      <w:szCs w:val="21"/>
      <w:lang w:eastAsia="en-US"/>
    </w:rPr>
  </w:style>
  <w:style w:type="paragraph" w:customStyle="1" w:styleId="aff9">
    <w:name w:val="Таблицы (моноширинный)"/>
    <w:basedOn w:val="a1"/>
    <w:next w:val="a1"/>
    <w:uiPriority w:val="99"/>
    <w:rsid w:val="001C398B"/>
    <w:pPr>
      <w:autoSpaceDE w:val="0"/>
      <w:autoSpaceDN w:val="0"/>
      <w:adjustRightInd w:val="0"/>
    </w:pPr>
    <w:rPr>
      <w:rFonts w:ascii="Courier New" w:hAnsi="Courier New" w:cs="Courier New"/>
      <w:szCs w:val="24"/>
      <w:lang w:eastAsia="ru-RU"/>
    </w:rPr>
  </w:style>
  <w:style w:type="paragraph" w:customStyle="1" w:styleId="S30">
    <w:name w:val="S_Заголовок3_СписокН"/>
    <w:basedOn w:val="a1"/>
    <w:next w:val="S4"/>
    <w:rsid w:val="001C4192"/>
    <w:pPr>
      <w:keepNext/>
      <w:numPr>
        <w:ilvl w:val="2"/>
        <w:numId w:val="10"/>
      </w:numPr>
      <w:jc w:val="both"/>
    </w:pPr>
    <w:rPr>
      <w:rFonts w:ascii="Arial" w:eastAsia="Times New Roman" w:hAnsi="Arial"/>
      <w:b/>
      <w:i/>
      <w:caps/>
      <w:sz w:val="20"/>
      <w:szCs w:val="20"/>
      <w:lang w:eastAsia="ru-RU"/>
    </w:rPr>
  </w:style>
  <w:style w:type="paragraph" w:customStyle="1" w:styleId="S8">
    <w:name w:val="S_НазваниеТаблицы"/>
    <w:basedOn w:val="S4"/>
    <w:next w:val="S4"/>
    <w:rsid w:val="001C4192"/>
    <w:pPr>
      <w:keepNext/>
      <w:jc w:val="right"/>
    </w:pPr>
    <w:rPr>
      <w:rFonts w:ascii="Arial" w:hAnsi="Arial"/>
      <w:b/>
      <w:sz w:val="20"/>
    </w:rPr>
  </w:style>
  <w:style w:type="paragraph" w:customStyle="1" w:styleId="Default">
    <w:name w:val="Default"/>
    <w:rsid w:val="00141274"/>
    <w:pPr>
      <w:autoSpaceDE w:val="0"/>
      <w:autoSpaceDN w:val="0"/>
      <w:adjustRightInd w:val="0"/>
    </w:pPr>
    <w:rPr>
      <w:rFonts w:ascii="Times New Roman" w:hAnsi="Times New Roman"/>
      <w:color w:val="000000"/>
      <w:sz w:val="24"/>
      <w:szCs w:val="24"/>
    </w:rPr>
  </w:style>
  <w:style w:type="character" w:customStyle="1" w:styleId="S01">
    <w:name w:val="S_Термин01"/>
    <w:basedOn w:val="a2"/>
    <w:uiPriority w:val="99"/>
    <w:rsid w:val="00164EC3"/>
    <w:rPr>
      <w:rFonts w:ascii="Arial" w:hAnsi="Arial" w:cs="Arial"/>
      <w:b/>
      <w:bCs/>
      <w:i/>
      <w:iCs/>
      <w:caps/>
      <w:sz w:val="20"/>
      <w:szCs w:val="20"/>
      <w:lang w:val="ru-RU" w:eastAsia="ru-RU"/>
    </w:rPr>
  </w:style>
  <w:style w:type="paragraph" w:customStyle="1" w:styleId="S9">
    <w:name w:val="S_НаименованиеДокумента"/>
    <w:basedOn w:val="S4"/>
    <w:next w:val="S4"/>
    <w:rsid w:val="001C4192"/>
    <w:pPr>
      <w:widowControl/>
      <w:ind w:right="641"/>
      <w:jc w:val="left"/>
    </w:pPr>
    <w:rPr>
      <w:rFonts w:ascii="Arial" w:hAnsi="Arial"/>
      <w:b/>
      <w:caps/>
    </w:rPr>
  </w:style>
  <w:style w:type="character" w:customStyle="1" w:styleId="affa">
    <w:name w:val="Текст ЛНД Знак"/>
    <w:link w:val="affb"/>
    <w:locked/>
    <w:rsid w:val="00240DEA"/>
    <w:rPr>
      <w:sz w:val="24"/>
    </w:rPr>
  </w:style>
  <w:style w:type="paragraph" w:customStyle="1" w:styleId="affb">
    <w:name w:val="Текст ЛНД"/>
    <w:basedOn w:val="a1"/>
    <w:link w:val="affa"/>
    <w:rsid w:val="00240DEA"/>
    <w:pPr>
      <w:spacing w:before="120"/>
      <w:jc w:val="both"/>
    </w:pPr>
    <w:rPr>
      <w:rFonts w:ascii="Calibri" w:hAnsi="Calibri"/>
      <w:szCs w:val="20"/>
      <w:lang w:eastAsia="ru-RU"/>
    </w:rPr>
  </w:style>
  <w:style w:type="paragraph" w:customStyle="1" w:styleId="1">
    <w:name w:val="М_СписокМарк_Уровень 1"/>
    <w:basedOn w:val="a1"/>
    <w:qFormat/>
    <w:rsid w:val="00625458"/>
    <w:pPr>
      <w:numPr>
        <w:numId w:val="7"/>
      </w:numPr>
      <w:tabs>
        <w:tab w:val="left" w:pos="540"/>
      </w:tabs>
      <w:spacing w:before="120"/>
      <w:jc w:val="both"/>
    </w:pPr>
    <w:rPr>
      <w:bCs/>
    </w:rPr>
  </w:style>
  <w:style w:type="character" w:customStyle="1" w:styleId="mw-headline4">
    <w:name w:val="mw-headline4"/>
    <w:basedOn w:val="a2"/>
    <w:rsid w:val="007B566E"/>
  </w:style>
  <w:style w:type="paragraph" w:customStyle="1" w:styleId="affc">
    <w:name w:val="_ТаблПрил_№.и.Название"/>
    <w:next w:val="a1"/>
    <w:rsid w:val="0090445C"/>
    <w:pPr>
      <w:keepNext/>
      <w:spacing w:before="120" w:after="120"/>
    </w:pPr>
    <w:rPr>
      <w:rFonts w:ascii="Times New Roman" w:eastAsia="Times New Roman" w:hAnsi="Times New Roman"/>
      <w:bCs/>
      <w:sz w:val="28"/>
    </w:rPr>
  </w:style>
  <w:style w:type="character" w:customStyle="1" w:styleId="urtxtstd">
    <w:name w:val="urtxtstd"/>
    <w:basedOn w:val="a2"/>
    <w:rsid w:val="003911DF"/>
  </w:style>
  <w:style w:type="paragraph" w:customStyle="1" w:styleId="Sa">
    <w:name w:val="S_МестоГод"/>
    <w:basedOn w:val="S4"/>
    <w:rsid w:val="001C4192"/>
    <w:pPr>
      <w:spacing w:before="120"/>
      <w:jc w:val="center"/>
    </w:pPr>
    <w:rPr>
      <w:rFonts w:ascii="Arial" w:hAnsi="Arial"/>
      <w:b/>
      <w:caps/>
      <w:sz w:val="18"/>
      <w:szCs w:val="18"/>
    </w:rPr>
  </w:style>
  <w:style w:type="paragraph" w:styleId="affd">
    <w:name w:val="Title"/>
    <w:basedOn w:val="a1"/>
    <w:link w:val="affe"/>
    <w:uiPriority w:val="10"/>
    <w:qFormat/>
    <w:rsid w:val="00AB0C3B"/>
    <w:pPr>
      <w:spacing w:before="100" w:beforeAutospacing="1" w:after="100" w:afterAutospacing="1"/>
    </w:pPr>
    <w:rPr>
      <w:rFonts w:eastAsia="Times New Roman"/>
      <w:szCs w:val="24"/>
      <w:lang w:eastAsia="ru-RU"/>
    </w:rPr>
  </w:style>
  <w:style w:type="character" w:customStyle="1" w:styleId="affe">
    <w:name w:val="Название Знак"/>
    <w:basedOn w:val="a2"/>
    <w:link w:val="affd"/>
    <w:uiPriority w:val="10"/>
    <w:rsid w:val="00AB0C3B"/>
    <w:rPr>
      <w:rFonts w:ascii="Times New Roman" w:eastAsia="Times New Roman" w:hAnsi="Times New Roman"/>
      <w:sz w:val="24"/>
      <w:szCs w:val="24"/>
    </w:rPr>
  </w:style>
  <w:style w:type="paragraph" w:customStyle="1" w:styleId="Sb">
    <w:name w:val="S_Версия"/>
    <w:basedOn w:val="S4"/>
    <w:next w:val="S4"/>
    <w:autoRedefine/>
    <w:rsid w:val="001C4192"/>
    <w:pPr>
      <w:spacing w:before="120" w:after="120"/>
      <w:jc w:val="center"/>
    </w:pPr>
    <w:rPr>
      <w:rFonts w:ascii="Arial" w:hAnsi="Arial"/>
      <w:b/>
      <w:caps/>
      <w:sz w:val="20"/>
      <w:szCs w:val="20"/>
    </w:rPr>
  </w:style>
  <w:style w:type="paragraph" w:customStyle="1" w:styleId="Sc">
    <w:name w:val="S_ВерхКолонтитулТекст"/>
    <w:basedOn w:val="S4"/>
    <w:next w:val="S4"/>
    <w:rsid w:val="001C4192"/>
    <w:pPr>
      <w:spacing w:before="120"/>
      <w:jc w:val="right"/>
    </w:pPr>
    <w:rPr>
      <w:rFonts w:ascii="Arial" w:hAnsi="Arial"/>
      <w:b/>
      <w:caps/>
      <w:sz w:val="10"/>
      <w:szCs w:val="10"/>
    </w:rPr>
  </w:style>
  <w:style w:type="paragraph" w:customStyle="1" w:styleId="Sd">
    <w:name w:val="S_ВидДокумента"/>
    <w:basedOn w:val="af9"/>
    <w:next w:val="S4"/>
    <w:link w:val="Se"/>
    <w:rsid w:val="001C4192"/>
    <w:pPr>
      <w:spacing w:before="120" w:after="0"/>
      <w:jc w:val="right"/>
    </w:pPr>
    <w:rPr>
      <w:rFonts w:ascii="EuropeDemiC" w:hAnsi="EuropeDemiC" w:cs="Arial"/>
      <w:b/>
      <w:caps/>
      <w:sz w:val="36"/>
      <w:szCs w:val="36"/>
    </w:rPr>
  </w:style>
  <w:style w:type="character" w:customStyle="1" w:styleId="Se">
    <w:name w:val="S_ВидДокумента Знак"/>
    <w:link w:val="Sd"/>
    <w:rsid w:val="001C4192"/>
    <w:rPr>
      <w:rFonts w:ascii="EuropeDemiC" w:eastAsia="Times New Roman" w:hAnsi="EuropeDemiC" w:cs="Arial"/>
      <w:b/>
      <w:caps/>
      <w:sz w:val="36"/>
      <w:szCs w:val="36"/>
    </w:rPr>
  </w:style>
  <w:style w:type="paragraph" w:customStyle="1" w:styleId="Sf">
    <w:name w:val="S_Гиперссылка"/>
    <w:basedOn w:val="S4"/>
    <w:rsid w:val="001C4192"/>
    <w:rPr>
      <w:color w:val="0000FF"/>
      <w:u w:val="single"/>
    </w:rPr>
  </w:style>
  <w:style w:type="paragraph" w:customStyle="1" w:styleId="Sf0">
    <w:name w:val="S_Гриф"/>
    <w:basedOn w:val="S4"/>
    <w:rsid w:val="001C4192"/>
    <w:pPr>
      <w:widowControl/>
      <w:spacing w:line="360" w:lineRule="auto"/>
      <w:ind w:left="5392"/>
      <w:jc w:val="left"/>
    </w:pPr>
    <w:rPr>
      <w:rFonts w:ascii="Arial" w:hAnsi="Arial"/>
      <w:b/>
      <w:sz w:val="20"/>
    </w:rPr>
  </w:style>
  <w:style w:type="paragraph" w:customStyle="1" w:styleId="S12">
    <w:name w:val="S_ЗаголовкиТаблицы1"/>
    <w:basedOn w:val="S4"/>
    <w:rsid w:val="001C4192"/>
    <w:pPr>
      <w:keepNext/>
      <w:jc w:val="center"/>
    </w:pPr>
    <w:rPr>
      <w:rFonts w:ascii="Arial" w:hAnsi="Arial"/>
      <w:b/>
      <w:caps/>
      <w:sz w:val="16"/>
      <w:szCs w:val="16"/>
    </w:rPr>
  </w:style>
  <w:style w:type="paragraph" w:customStyle="1" w:styleId="S22">
    <w:name w:val="S_ЗаголовкиТаблицы2"/>
    <w:basedOn w:val="S4"/>
    <w:rsid w:val="001C4192"/>
    <w:pPr>
      <w:jc w:val="center"/>
    </w:pPr>
    <w:rPr>
      <w:rFonts w:ascii="Arial" w:hAnsi="Arial"/>
      <w:b/>
      <w:sz w:val="14"/>
    </w:rPr>
  </w:style>
  <w:style w:type="paragraph" w:customStyle="1" w:styleId="S13">
    <w:name w:val="S_Заголовок1"/>
    <w:basedOn w:val="a1"/>
    <w:next w:val="S4"/>
    <w:rsid w:val="001C4192"/>
    <w:pPr>
      <w:keepNext/>
      <w:pageBreakBefore/>
      <w:jc w:val="both"/>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1C4192"/>
    <w:pPr>
      <w:keepNext/>
      <w:pageBreakBefore/>
      <w:widowControl/>
      <w:numPr>
        <w:numId w:val="9"/>
      </w:numPr>
      <w:outlineLvl w:val="1"/>
    </w:pPr>
    <w:rPr>
      <w:rFonts w:ascii="Arial" w:hAnsi="Arial"/>
      <w:b/>
      <w:caps/>
    </w:rPr>
  </w:style>
  <w:style w:type="paragraph" w:customStyle="1" w:styleId="S1">
    <w:name w:val="S_Заголовок1_СписокН"/>
    <w:basedOn w:val="S13"/>
    <w:next w:val="S4"/>
    <w:rsid w:val="001C4192"/>
    <w:pPr>
      <w:numPr>
        <w:numId w:val="10"/>
      </w:numPr>
    </w:pPr>
  </w:style>
  <w:style w:type="paragraph" w:customStyle="1" w:styleId="S23">
    <w:name w:val="S_Заголовок2"/>
    <w:basedOn w:val="a1"/>
    <w:next w:val="S4"/>
    <w:rsid w:val="001C4192"/>
    <w:pPr>
      <w:keepNext/>
      <w:jc w:val="both"/>
      <w:outlineLvl w:val="1"/>
    </w:pPr>
    <w:rPr>
      <w:rFonts w:ascii="Arial" w:eastAsia="Times New Roman" w:hAnsi="Arial"/>
      <w:b/>
      <w:caps/>
      <w:szCs w:val="24"/>
      <w:lang w:eastAsia="ru-RU"/>
    </w:rPr>
  </w:style>
  <w:style w:type="paragraph" w:customStyle="1" w:styleId="S21">
    <w:name w:val="S_Заголовок2_Прил_СписокН"/>
    <w:basedOn w:val="S4"/>
    <w:next w:val="S4"/>
    <w:rsid w:val="001C4192"/>
    <w:pPr>
      <w:keepNext/>
      <w:keepLines/>
      <w:numPr>
        <w:ilvl w:val="2"/>
        <w:numId w:val="9"/>
      </w:numPr>
      <w:tabs>
        <w:tab w:val="left" w:pos="720"/>
      </w:tabs>
      <w:jc w:val="left"/>
      <w:outlineLvl w:val="2"/>
    </w:pPr>
    <w:rPr>
      <w:rFonts w:ascii="Arial" w:hAnsi="Arial"/>
      <w:b/>
      <w:caps/>
      <w:szCs w:val="20"/>
    </w:rPr>
  </w:style>
  <w:style w:type="paragraph" w:customStyle="1" w:styleId="S20">
    <w:name w:val="S_Заголовок2_СписокН"/>
    <w:basedOn w:val="S23"/>
    <w:next w:val="S4"/>
    <w:rsid w:val="001C4192"/>
    <w:pPr>
      <w:numPr>
        <w:ilvl w:val="1"/>
        <w:numId w:val="10"/>
      </w:numPr>
    </w:pPr>
  </w:style>
  <w:style w:type="paragraph" w:customStyle="1" w:styleId="Sf1">
    <w:name w:val="S_НазваниеРисунка"/>
    <w:basedOn w:val="a1"/>
    <w:next w:val="S4"/>
    <w:rsid w:val="001C4192"/>
    <w:pPr>
      <w:spacing w:before="60"/>
      <w:jc w:val="center"/>
    </w:pPr>
    <w:rPr>
      <w:rFonts w:ascii="Arial" w:eastAsia="Times New Roman" w:hAnsi="Arial"/>
      <w:b/>
      <w:sz w:val="20"/>
      <w:szCs w:val="24"/>
      <w:lang w:eastAsia="ru-RU"/>
    </w:rPr>
  </w:style>
  <w:style w:type="paragraph" w:customStyle="1" w:styleId="Sf2">
    <w:name w:val="S_НижнКолонтЛев"/>
    <w:basedOn w:val="S4"/>
    <w:next w:val="S4"/>
    <w:rsid w:val="001C4192"/>
    <w:pPr>
      <w:jc w:val="left"/>
    </w:pPr>
    <w:rPr>
      <w:rFonts w:ascii="Arial" w:hAnsi="Arial"/>
      <w:b/>
      <w:caps/>
      <w:sz w:val="10"/>
      <w:szCs w:val="10"/>
    </w:rPr>
  </w:style>
  <w:style w:type="paragraph" w:customStyle="1" w:styleId="Sf3">
    <w:name w:val="S_НижнКолонтПрав"/>
    <w:basedOn w:val="S4"/>
    <w:next w:val="S4"/>
    <w:rsid w:val="001C4192"/>
    <w:pPr>
      <w:widowControl/>
      <w:ind w:hanging="181"/>
      <w:jc w:val="right"/>
    </w:pPr>
    <w:rPr>
      <w:rFonts w:ascii="Arial" w:hAnsi="Arial"/>
      <w:b/>
      <w:caps/>
      <w:sz w:val="12"/>
      <w:szCs w:val="12"/>
    </w:rPr>
  </w:style>
  <w:style w:type="paragraph" w:customStyle="1" w:styleId="Sf4">
    <w:name w:val="S_НомерДокумента"/>
    <w:basedOn w:val="S4"/>
    <w:next w:val="S4"/>
    <w:rsid w:val="001C4192"/>
    <w:pPr>
      <w:spacing w:before="120" w:after="120"/>
      <w:jc w:val="center"/>
    </w:pPr>
    <w:rPr>
      <w:rFonts w:ascii="Arial" w:hAnsi="Arial"/>
      <w:b/>
      <w:caps/>
    </w:rPr>
  </w:style>
  <w:style w:type="paragraph" w:customStyle="1" w:styleId="S14">
    <w:name w:val="S_ТекстВТаблице1"/>
    <w:basedOn w:val="S4"/>
    <w:next w:val="S4"/>
    <w:rsid w:val="001C4192"/>
    <w:pPr>
      <w:spacing w:before="120"/>
      <w:jc w:val="left"/>
    </w:pPr>
    <w:rPr>
      <w:szCs w:val="28"/>
    </w:rPr>
  </w:style>
  <w:style w:type="paragraph" w:customStyle="1" w:styleId="S10">
    <w:name w:val="S_НумСписВ Таблице1"/>
    <w:basedOn w:val="S14"/>
    <w:next w:val="S4"/>
    <w:rsid w:val="001C4192"/>
    <w:pPr>
      <w:numPr>
        <w:numId w:val="11"/>
      </w:numPr>
    </w:pPr>
  </w:style>
  <w:style w:type="paragraph" w:customStyle="1" w:styleId="S24">
    <w:name w:val="S_ТекстВТаблице2"/>
    <w:basedOn w:val="S4"/>
    <w:next w:val="S4"/>
    <w:rsid w:val="001C4192"/>
    <w:pPr>
      <w:spacing w:before="120"/>
      <w:jc w:val="left"/>
    </w:pPr>
    <w:rPr>
      <w:sz w:val="20"/>
    </w:rPr>
  </w:style>
  <w:style w:type="paragraph" w:customStyle="1" w:styleId="S2">
    <w:name w:val="S_НумСписВТаблице2"/>
    <w:basedOn w:val="S24"/>
    <w:next w:val="S4"/>
    <w:rsid w:val="001C4192"/>
    <w:pPr>
      <w:numPr>
        <w:numId w:val="12"/>
      </w:numPr>
    </w:pPr>
  </w:style>
  <w:style w:type="paragraph" w:customStyle="1" w:styleId="S31">
    <w:name w:val="S_ТекстВТаблице3"/>
    <w:basedOn w:val="S4"/>
    <w:next w:val="S4"/>
    <w:rsid w:val="001C4192"/>
    <w:pPr>
      <w:spacing w:before="120"/>
      <w:jc w:val="left"/>
    </w:pPr>
    <w:rPr>
      <w:sz w:val="16"/>
    </w:rPr>
  </w:style>
  <w:style w:type="paragraph" w:customStyle="1" w:styleId="S3">
    <w:name w:val="S_НумСписВТаблице3"/>
    <w:basedOn w:val="S31"/>
    <w:next w:val="S4"/>
    <w:rsid w:val="001C4192"/>
    <w:pPr>
      <w:numPr>
        <w:numId w:val="13"/>
      </w:numPr>
    </w:pPr>
  </w:style>
  <w:style w:type="paragraph" w:customStyle="1" w:styleId="Sf5">
    <w:name w:val="S_Примечание"/>
    <w:basedOn w:val="S4"/>
    <w:next w:val="S4"/>
    <w:rsid w:val="001C4192"/>
    <w:pPr>
      <w:ind w:left="567"/>
    </w:pPr>
    <w:rPr>
      <w:i/>
      <w:u w:val="single"/>
    </w:rPr>
  </w:style>
  <w:style w:type="paragraph" w:customStyle="1" w:styleId="Sf6">
    <w:name w:val="S_ПримечаниеТекст"/>
    <w:basedOn w:val="S4"/>
    <w:next w:val="S4"/>
    <w:rsid w:val="001C4192"/>
    <w:pPr>
      <w:spacing w:before="120"/>
      <w:ind w:left="567"/>
    </w:pPr>
    <w:rPr>
      <w:i/>
    </w:rPr>
  </w:style>
  <w:style w:type="paragraph" w:customStyle="1" w:styleId="Sf7">
    <w:name w:val="S_Рисунок"/>
    <w:basedOn w:val="S4"/>
    <w:rsid w:val="001C4192"/>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1C4192"/>
    <w:rPr>
      <w:rFonts w:ascii="Arial" w:hAnsi="Arial"/>
      <w:sz w:val="16"/>
    </w:rPr>
  </w:style>
  <w:style w:type="paragraph" w:customStyle="1" w:styleId="Sf9">
    <w:name w:val="S_Содержание"/>
    <w:basedOn w:val="S4"/>
    <w:next w:val="S4"/>
    <w:rsid w:val="001C4192"/>
    <w:rPr>
      <w:rFonts w:ascii="Arial" w:hAnsi="Arial"/>
      <w:b/>
      <w:caps/>
      <w:sz w:val="32"/>
      <w:szCs w:val="32"/>
    </w:rPr>
  </w:style>
  <w:style w:type="character" w:customStyle="1" w:styleId="S6">
    <w:name w:val="S_СписокМ_Обычный Знак"/>
    <w:link w:val="S"/>
    <w:rsid w:val="001C4192"/>
    <w:rPr>
      <w:rFonts w:ascii="Times New Roman" w:eastAsia="Times New Roman" w:hAnsi="Times New Roman"/>
      <w:sz w:val="24"/>
      <w:szCs w:val="24"/>
    </w:rPr>
  </w:style>
  <w:style w:type="table" w:customStyle="1" w:styleId="Sfa">
    <w:name w:val="S_Таблица"/>
    <w:basedOn w:val="a3"/>
    <w:rsid w:val="001C4192"/>
    <w:rPr>
      <w:rFonts w:ascii="Times New Roman" w:eastAsia="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1C4192"/>
    <w:pPr>
      <w:ind w:left="431"/>
    </w:pPr>
    <w:rPr>
      <w:rFonts w:ascii="EuropeExt" w:hAnsi="EuropeExt" w:cs="Tahoma"/>
      <w:bCs/>
      <w:spacing w:val="18"/>
      <w:sz w:val="12"/>
      <w:szCs w:val="12"/>
    </w:rPr>
  </w:style>
  <w:style w:type="paragraph" w:customStyle="1" w:styleId="S15">
    <w:name w:val="S_ТекстЛоготипа1"/>
    <w:basedOn w:val="S4"/>
    <w:next w:val="S4"/>
    <w:rsid w:val="001C4192"/>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1C4192"/>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1C4192"/>
    <w:pPr>
      <w:spacing w:before="120"/>
    </w:pPr>
    <w:rPr>
      <w:rFonts w:ascii="Arial" w:hAnsi="Arial"/>
      <w:b/>
      <w:caps/>
      <w:sz w:val="20"/>
      <w:szCs w:val="20"/>
    </w:rPr>
  </w:style>
  <w:style w:type="character" w:customStyle="1" w:styleId="S17">
    <w:name w:val="S_ТекстСодержания1 Знак"/>
    <w:link w:val="S16"/>
    <w:rsid w:val="001C4192"/>
    <w:rPr>
      <w:rFonts w:ascii="Arial" w:eastAsia="Times New Roman" w:hAnsi="Arial"/>
      <w:b/>
      <w:caps/>
    </w:rPr>
  </w:style>
  <w:style w:type="paragraph" w:customStyle="1" w:styleId="Sfc">
    <w:name w:val="S_Термин"/>
    <w:basedOn w:val="a1"/>
    <w:next w:val="S4"/>
    <w:link w:val="Sfd"/>
    <w:rsid w:val="001C4192"/>
    <w:pPr>
      <w:jc w:val="both"/>
    </w:pPr>
    <w:rPr>
      <w:rFonts w:ascii="Arial" w:eastAsia="Times New Roman" w:hAnsi="Arial"/>
      <w:b/>
      <w:i/>
      <w:caps/>
      <w:sz w:val="20"/>
      <w:szCs w:val="20"/>
      <w:lang w:eastAsia="ru-RU"/>
    </w:rPr>
  </w:style>
  <w:style w:type="character" w:customStyle="1" w:styleId="Sfd">
    <w:name w:val="S_Термин Знак"/>
    <w:link w:val="Sfc"/>
    <w:rsid w:val="001C4192"/>
    <w:rPr>
      <w:rFonts w:ascii="Arial" w:eastAsia="Times New Roman" w:hAnsi="Arial"/>
      <w:b/>
      <w:i/>
      <w:caps/>
    </w:rPr>
  </w:style>
  <w:style w:type="character" w:customStyle="1" w:styleId="210">
    <w:name w:val="Заголовок 2 Знак1"/>
    <w:uiPriority w:val="9"/>
    <w:rsid w:val="001D2872"/>
    <w:rPr>
      <w:rFonts w:ascii="Arial" w:eastAsia="Calibri" w:hAnsi="Arial" w:cs="Arial"/>
      <w:b/>
      <w:bCs/>
      <w:iCs/>
      <w:caps/>
      <w:sz w:val="24"/>
      <w:szCs w:val="28"/>
    </w:rPr>
  </w:style>
  <w:style w:type="character" w:styleId="afff">
    <w:name w:val="FollowedHyperlink"/>
    <w:basedOn w:val="a2"/>
    <w:rsid w:val="00D80039"/>
    <w:rPr>
      <w:color w:val="800080" w:themeColor="followedHyperlink"/>
      <w:u w:val="single"/>
    </w:rPr>
  </w:style>
  <w:style w:type="paragraph" w:customStyle="1" w:styleId="headertext">
    <w:name w:val="headertext"/>
    <w:basedOn w:val="a1"/>
    <w:rsid w:val="00401C11"/>
    <w:pPr>
      <w:spacing w:before="100" w:beforeAutospacing="1" w:after="100" w:afterAutospacing="1"/>
    </w:pPr>
    <w:rPr>
      <w:rFonts w:eastAsia="Times New Roman"/>
      <w:szCs w:val="24"/>
      <w:lang w:eastAsia="ru-RU"/>
    </w:rPr>
  </w:style>
  <w:style w:type="character" w:customStyle="1" w:styleId="w">
    <w:name w:val="w"/>
    <w:basedOn w:val="a2"/>
    <w:rsid w:val="00D63690"/>
  </w:style>
  <w:style w:type="paragraph" w:customStyle="1" w:styleId="afff0">
    <w:name w:val="Выделение текста ЛНД"/>
    <w:basedOn w:val="affb"/>
    <w:next w:val="affb"/>
    <w:link w:val="afff1"/>
    <w:rsid w:val="003E64A3"/>
    <w:pPr>
      <w:spacing w:after="240"/>
    </w:pPr>
    <w:rPr>
      <w:rFonts w:ascii="Arial" w:eastAsia="Times New Roman" w:hAnsi="Arial"/>
      <w:b/>
      <w:bCs/>
      <w:i/>
      <w:iCs/>
      <w:caps/>
      <w:sz w:val="20"/>
    </w:rPr>
  </w:style>
  <w:style w:type="character" w:customStyle="1" w:styleId="afff1">
    <w:name w:val="Выделение текста ЛНД Знак"/>
    <w:link w:val="afff0"/>
    <w:rsid w:val="003E64A3"/>
    <w:rPr>
      <w:rFonts w:ascii="Arial" w:eastAsia="Times New Roman" w:hAnsi="Arial"/>
      <w:b/>
      <w:bCs/>
      <w:i/>
      <w:iCs/>
      <w:caps/>
    </w:rPr>
  </w:style>
  <w:style w:type="numbering" w:customStyle="1" w:styleId="a0">
    <w:name w:val="Маркированный ЛНД"/>
    <w:rsid w:val="00123BC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365113">
      <w:bodyDiv w:val="1"/>
      <w:marLeft w:val="136"/>
      <w:marRight w:val="136"/>
      <w:marTop w:val="136"/>
      <w:marBottom w:val="136"/>
      <w:divBdr>
        <w:top w:val="none" w:sz="0" w:space="0" w:color="auto"/>
        <w:left w:val="none" w:sz="0" w:space="0" w:color="auto"/>
        <w:bottom w:val="none" w:sz="0" w:space="0" w:color="auto"/>
        <w:right w:val="none" w:sz="0" w:space="0" w:color="auto"/>
      </w:divBdr>
      <w:divsChild>
        <w:div w:id="140314568">
          <w:marLeft w:val="0"/>
          <w:marRight w:val="0"/>
          <w:marTop w:val="0"/>
          <w:marBottom w:val="0"/>
          <w:divBdr>
            <w:top w:val="none" w:sz="0" w:space="0" w:color="auto"/>
            <w:left w:val="none" w:sz="0" w:space="0" w:color="auto"/>
            <w:bottom w:val="none" w:sz="0" w:space="0" w:color="auto"/>
            <w:right w:val="none" w:sz="0" w:space="0" w:color="auto"/>
          </w:divBdr>
          <w:divsChild>
            <w:div w:id="1879969433">
              <w:marLeft w:val="0"/>
              <w:marRight w:val="0"/>
              <w:marTop w:val="0"/>
              <w:marBottom w:val="0"/>
              <w:divBdr>
                <w:top w:val="none" w:sz="0" w:space="0" w:color="auto"/>
                <w:left w:val="none" w:sz="0" w:space="0" w:color="auto"/>
                <w:bottom w:val="none" w:sz="0" w:space="0" w:color="auto"/>
                <w:right w:val="none" w:sz="0" w:space="0" w:color="auto"/>
              </w:divBdr>
              <w:divsChild>
                <w:div w:id="1862237589">
                  <w:marLeft w:val="0"/>
                  <w:marRight w:val="0"/>
                  <w:marTop w:val="0"/>
                  <w:marBottom w:val="0"/>
                  <w:divBdr>
                    <w:top w:val="none" w:sz="0" w:space="0" w:color="auto"/>
                    <w:left w:val="none" w:sz="0" w:space="0" w:color="auto"/>
                    <w:bottom w:val="none" w:sz="0" w:space="0" w:color="auto"/>
                    <w:right w:val="none" w:sz="0" w:space="0" w:color="auto"/>
                  </w:divBdr>
                  <w:divsChild>
                    <w:div w:id="2028100227">
                      <w:marLeft w:val="0"/>
                      <w:marRight w:val="0"/>
                      <w:marTop w:val="0"/>
                      <w:marBottom w:val="0"/>
                      <w:divBdr>
                        <w:top w:val="none" w:sz="0" w:space="0" w:color="auto"/>
                        <w:left w:val="none" w:sz="0" w:space="0" w:color="auto"/>
                        <w:bottom w:val="none" w:sz="0" w:space="0" w:color="auto"/>
                        <w:right w:val="none" w:sz="0" w:space="0" w:color="auto"/>
                      </w:divBdr>
                      <w:divsChild>
                        <w:div w:id="1099987499">
                          <w:marLeft w:val="0"/>
                          <w:marRight w:val="0"/>
                          <w:marTop w:val="0"/>
                          <w:marBottom w:val="0"/>
                          <w:divBdr>
                            <w:top w:val="none" w:sz="0" w:space="0" w:color="auto"/>
                            <w:left w:val="none" w:sz="0" w:space="0" w:color="auto"/>
                            <w:bottom w:val="none" w:sz="0" w:space="0" w:color="auto"/>
                            <w:right w:val="none" w:sz="0" w:space="0" w:color="auto"/>
                          </w:divBdr>
                          <w:divsChild>
                            <w:div w:id="42683464">
                              <w:marLeft w:val="0"/>
                              <w:marRight w:val="0"/>
                              <w:marTop w:val="0"/>
                              <w:marBottom w:val="0"/>
                              <w:divBdr>
                                <w:top w:val="none" w:sz="0" w:space="0" w:color="auto"/>
                                <w:left w:val="none" w:sz="0" w:space="0" w:color="auto"/>
                                <w:bottom w:val="none" w:sz="0" w:space="0" w:color="auto"/>
                                <w:right w:val="none" w:sz="0" w:space="0" w:color="auto"/>
                              </w:divBdr>
                            </w:div>
                            <w:div w:id="176115591">
                              <w:marLeft w:val="0"/>
                              <w:marRight w:val="0"/>
                              <w:marTop w:val="0"/>
                              <w:marBottom w:val="0"/>
                              <w:divBdr>
                                <w:top w:val="none" w:sz="0" w:space="0" w:color="auto"/>
                                <w:left w:val="none" w:sz="0" w:space="0" w:color="auto"/>
                                <w:bottom w:val="none" w:sz="0" w:space="0" w:color="auto"/>
                                <w:right w:val="none" w:sz="0" w:space="0" w:color="auto"/>
                              </w:divBdr>
                            </w:div>
                            <w:div w:id="519782776">
                              <w:marLeft w:val="0"/>
                              <w:marRight w:val="0"/>
                              <w:marTop w:val="0"/>
                              <w:marBottom w:val="0"/>
                              <w:divBdr>
                                <w:top w:val="none" w:sz="0" w:space="0" w:color="auto"/>
                                <w:left w:val="none" w:sz="0" w:space="0" w:color="auto"/>
                                <w:bottom w:val="none" w:sz="0" w:space="0" w:color="auto"/>
                                <w:right w:val="none" w:sz="0" w:space="0" w:color="auto"/>
                              </w:divBdr>
                            </w:div>
                            <w:div w:id="802623149">
                              <w:marLeft w:val="0"/>
                              <w:marRight w:val="0"/>
                              <w:marTop w:val="0"/>
                              <w:marBottom w:val="0"/>
                              <w:divBdr>
                                <w:top w:val="none" w:sz="0" w:space="0" w:color="auto"/>
                                <w:left w:val="none" w:sz="0" w:space="0" w:color="auto"/>
                                <w:bottom w:val="none" w:sz="0" w:space="0" w:color="auto"/>
                                <w:right w:val="none" w:sz="0" w:space="0" w:color="auto"/>
                              </w:divBdr>
                            </w:div>
                            <w:div w:id="41025901">
                              <w:marLeft w:val="0"/>
                              <w:marRight w:val="0"/>
                              <w:marTop w:val="0"/>
                              <w:marBottom w:val="0"/>
                              <w:divBdr>
                                <w:top w:val="none" w:sz="0" w:space="0" w:color="auto"/>
                                <w:left w:val="none" w:sz="0" w:space="0" w:color="auto"/>
                                <w:bottom w:val="none" w:sz="0" w:space="0" w:color="auto"/>
                                <w:right w:val="none" w:sz="0" w:space="0" w:color="auto"/>
                              </w:divBdr>
                            </w:div>
                            <w:div w:id="1302618044">
                              <w:marLeft w:val="0"/>
                              <w:marRight w:val="0"/>
                              <w:marTop w:val="0"/>
                              <w:marBottom w:val="0"/>
                              <w:divBdr>
                                <w:top w:val="none" w:sz="0" w:space="0" w:color="auto"/>
                                <w:left w:val="none" w:sz="0" w:space="0" w:color="auto"/>
                                <w:bottom w:val="none" w:sz="0" w:space="0" w:color="auto"/>
                                <w:right w:val="none" w:sz="0" w:space="0" w:color="auto"/>
                              </w:divBdr>
                            </w:div>
                            <w:div w:id="15725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533357">
      <w:bodyDiv w:val="1"/>
      <w:marLeft w:val="0"/>
      <w:marRight w:val="0"/>
      <w:marTop w:val="0"/>
      <w:marBottom w:val="0"/>
      <w:divBdr>
        <w:top w:val="none" w:sz="0" w:space="0" w:color="auto"/>
        <w:left w:val="none" w:sz="0" w:space="0" w:color="auto"/>
        <w:bottom w:val="none" w:sz="0" w:space="0" w:color="auto"/>
        <w:right w:val="none" w:sz="0" w:space="0" w:color="auto"/>
      </w:divBdr>
      <w:divsChild>
        <w:div w:id="1093167525">
          <w:marLeft w:val="0"/>
          <w:marRight w:val="0"/>
          <w:marTop w:val="0"/>
          <w:marBottom w:val="0"/>
          <w:divBdr>
            <w:top w:val="none" w:sz="0" w:space="0" w:color="auto"/>
            <w:left w:val="none" w:sz="0" w:space="0" w:color="auto"/>
            <w:bottom w:val="none" w:sz="0" w:space="0" w:color="auto"/>
            <w:right w:val="none" w:sz="0" w:space="0" w:color="auto"/>
          </w:divBdr>
          <w:divsChild>
            <w:div w:id="330957322">
              <w:marLeft w:val="0"/>
              <w:marRight w:val="0"/>
              <w:marTop w:val="0"/>
              <w:marBottom w:val="0"/>
              <w:divBdr>
                <w:top w:val="none" w:sz="0" w:space="0" w:color="auto"/>
                <w:left w:val="none" w:sz="0" w:space="0" w:color="auto"/>
                <w:bottom w:val="none" w:sz="0" w:space="0" w:color="auto"/>
                <w:right w:val="none" w:sz="0" w:space="0" w:color="auto"/>
              </w:divBdr>
              <w:divsChild>
                <w:div w:id="1961715916">
                  <w:marLeft w:val="0"/>
                  <w:marRight w:val="0"/>
                  <w:marTop w:val="0"/>
                  <w:marBottom w:val="0"/>
                  <w:divBdr>
                    <w:top w:val="none" w:sz="0" w:space="0" w:color="auto"/>
                    <w:left w:val="none" w:sz="0" w:space="0" w:color="auto"/>
                    <w:bottom w:val="none" w:sz="0" w:space="0" w:color="auto"/>
                    <w:right w:val="none" w:sz="0" w:space="0" w:color="auto"/>
                  </w:divBdr>
                  <w:divsChild>
                    <w:div w:id="1734425971">
                      <w:marLeft w:val="0"/>
                      <w:marRight w:val="0"/>
                      <w:marTop w:val="0"/>
                      <w:marBottom w:val="0"/>
                      <w:divBdr>
                        <w:top w:val="none" w:sz="0" w:space="0" w:color="auto"/>
                        <w:left w:val="none" w:sz="0" w:space="0" w:color="auto"/>
                        <w:bottom w:val="none" w:sz="0" w:space="0" w:color="auto"/>
                        <w:right w:val="none" w:sz="0" w:space="0" w:color="auto"/>
                      </w:divBdr>
                      <w:divsChild>
                        <w:div w:id="639501008">
                          <w:marLeft w:val="0"/>
                          <w:marRight w:val="0"/>
                          <w:marTop w:val="0"/>
                          <w:marBottom w:val="0"/>
                          <w:divBdr>
                            <w:top w:val="none" w:sz="0" w:space="0" w:color="auto"/>
                            <w:left w:val="none" w:sz="0" w:space="0" w:color="auto"/>
                            <w:bottom w:val="none" w:sz="0" w:space="0" w:color="auto"/>
                            <w:right w:val="none" w:sz="0" w:space="0" w:color="auto"/>
                          </w:divBdr>
                          <w:divsChild>
                            <w:div w:id="1477451769">
                              <w:marLeft w:val="0"/>
                              <w:marRight w:val="0"/>
                              <w:marTop w:val="0"/>
                              <w:marBottom w:val="0"/>
                              <w:divBdr>
                                <w:top w:val="none" w:sz="0" w:space="0" w:color="auto"/>
                                <w:left w:val="none" w:sz="0" w:space="0" w:color="auto"/>
                                <w:bottom w:val="none" w:sz="0" w:space="0" w:color="auto"/>
                                <w:right w:val="none" w:sz="0" w:space="0" w:color="auto"/>
                              </w:divBdr>
                              <w:divsChild>
                                <w:div w:id="1136027704">
                                  <w:marLeft w:val="0"/>
                                  <w:marRight w:val="0"/>
                                  <w:marTop w:val="0"/>
                                  <w:marBottom w:val="0"/>
                                  <w:divBdr>
                                    <w:top w:val="none" w:sz="0" w:space="0" w:color="auto"/>
                                    <w:left w:val="none" w:sz="0" w:space="0" w:color="auto"/>
                                    <w:bottom w:val="none" w:sz="0" w:space="0" w:color="auto"/>
                                    <w:right w:val="none" w:sz="0" w:space="0" w:color="auto"/>
                                  </w:divBdr>
                                  <w:divsChild>
                                    <w:div w:id="214323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781135">
      <w:bodyDiv w:val="1"/>
      <w:marLeft w:val="0"/>
      <w:marRight w:val="0"/>
      <w:marTop w:val="0"/>
      <w:marBottom w:val="0"/>
      <w:divBdr>
        <w:top w:val="none" w:sz="0" w:space="0" w:color="auto"/>
        <w:left w:val="none" w:sz="0" w:space="0" w:color="auto"/>
        <w:bottom w:val="none" w:sz="0" w:space="0" w:color="auto"/>
        <w:right w:val="none" w:sz="0" w:space="0" w:color="auto"/>
      </w:divBdr>
    </w:div>
    <w:div w:id="367990239">
      <w:bodyDiv w:val="1"/>
      <w:marLeft w:val="0"/>
      <w:marRight w:val="0"/>
      <w:marTop w:val="0"/>
      <w:marBottom w:val="0"/>
      <w:divBdr>
        <w:top w:val="none" w:sz="0" w:space="0" w:color="auto"/>
        <w:left w:val="none" w:sz="0" w:space="0" w:color="auto"/>
        <w:bottom w:val="none" w:sz="0" w:space="0" w:color="auto"/>
        <w:right w:val="none" w:sz="0" w:space="0" w:color="auto"/>
      </w:divBdr>
      <w:divsChild>
        <w:div w:id="755903475">
          <w:marLeft w:val="0"/>
          <w:marRight w:val="0"/>
          <w:marTop w:val="0"/>
          <w:marBottom w:val="0"/>
          <w:divBdr>
            <w:top w:val="none" w:sz="0" w:space="0" w:color="auto"/>
            <w:left w:val="none" w:sz="0" w:space="0" w:color="auto"/>
            <w:bottom w:val="none" w:sz="0" w:space="0" w:color="auto"/>
            <w:right w:val="none" w:sz="0" w:space="0" w:color="auto"/>
          </w:divBdr>
          <w:divsChild>
            <w:div w:id="202713485">
              <w:marLeft w:val="0"/>
              <w:marRight w:val="0"/>
              <w:marTop w:val="0"/>
              <w:marBottom w:val="0"/>
              <w:divBdr>
                <w:top w:val="none" w:sz="0" w:space="0" w:color="auto"/>
                <w:left w:val="none" w:sz="0" w:space="0" w:color="auto"/>
                <w:bottom w:val="none" w:sz="0" w:space="0" w:color="auto"/>
                <w:right w:val="none" w:sz="0" w:space="0" w:color="auto"/>
              </w:divBdr>
              <w:divsChild>
                <w:div w:id="2118330374">
                  <w:marLeft w:val="0"/>
                  <w:marRight w:val="0"/>
                  <w:marTop w:val="0"/>
                  <w:marBottom w:val="0"/>
                  <w:divBdr>
                    <w:top w:val="none" w:sz="0" w:space="0" w:color="auto"/>
                    <w:left w:val="none" w:sz="0" w:space="0" w:color="auto"/>
                    <w:bottom w:val="none" w:sz="0" w:space="0" w:color="auto"/>
                    <w:right w:val="none" w:sz="0" w:space="0" w:color="auto"/>
                  </w:divBdr>
                  <w:divsChild>
                    <w:div w:id="805319286">
                      <w:marLeft w:val="0"/>
                      <w:marRight w:val="0"/>
                      <w:marTop w:val="0"/>
                      <w:marBottom w:val="0"/>
                      <w:divBdr>
                        <w:top w:val="none" w:sz="0" w:space="0" w:color="auto"/>
                        <w:left w:val="none" w:sz="0" w:space="0" w:color="auto"/>
                        <w:bottom w:val="none" w:sz="0" w:space="0" w:color="auto"/>
                        <w:right w:val="none" w:sz="0" w:space="0" w:color="auto"/>
                      </w:divBdr>
                      <w:divsChild>
                        <w:div w:id="117853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062135">
      <w:bodyDiv w:val="1"/>
      <w:marLeft w:val="0"/>
      <w:marRight w:val="0"/>
      <w:marTop w:val="0"/>
      <w:marBottom w:val="0"/>
      <w:divBdr>
        <w:top w:val="none" w:sz="0" w:space="0" w:color="auto"/>
        <w:left w:val="none" w:sz="0" w:space="0" w:color="auto"/>
        <w:bottom w:val="none" w:sz="0" w:space="0" w:color="auto"/>
        <w:right w:val="none" w:sz="0" w:space="0" w:color="auto"/>
      </w:divBdr>
      <w:divsChild>
        <w:div w:id="1901623952">
          <w:marLeft w:val="0"/>
          <w:marRight w:val="0"/>
          <w:marTop w:val="0"/>
          <w:marBottom w:val="0"/>
          <w:divBdr>
            <w:top w:val="none" w:sz="0" w:space="0" w:color="auto"/>
            <w:left w:val="none" w:sz="0" w:space="0" w:color="auto"/>
            <w:bottom w:val="none" w:sz="0" w:space="0" w:color="auto"/>
            <w:right w:val="none" w:sz="0" w:space="0" w:color="auto"/>
          </w:divBdr>
          <w:divsChild>
            <w:div w:id="1885361951">
              <w:marLeft w:val="0"/>
              <w:marRight w:val="0"/>
              <w:marTop w:val="0"/>
              <w:marBottom w:val="0"/>
              <w:divBdr>
                <w:top w:val="none" w:sz="0" w:space="0" w:color="auto"/>
                <w:left w:val="none" w:sz="0" w:space="0" w:color="auto"/>
                <w:bottom w:val="none" w:sz="0" w:space="0" w:color="auto"/>
                <w:right w:val="none" w:sz="0" w:space="0" w:color="auto"/>
              </w:divBdr>
              <w:divsChild>
                <w:div w:id="603850101">
                  <w:marLeft w:val="-188"/>
                  <w:marRight w:val="-188"/>
                  <w:marTop w:val="0"/>
                  <w:marBottom w:val="0"/>
                  <w:divBdr>
                    <w:top w:val="none" w:sz="0" w:space="0" w:color="auto"/>
                    <w:left w:val="none" w:sz="0" w:space="0" w:color="auto"/>
                    <w:bottom w:val="none" w:sz="0" w:space="0" w:color="auto"/>
                    <w:right w:val="none" w:sz="0" w:space="0" w:color="auto"/>
                  </w:divBdr>
                  <w:divsChild>
                    <w:div w:id="391467114">
                      <w:marLeft w:val="0"/>
                      <w:marRight w:val="0"/>
                      <w:marTop w:val="0"/>
                      <w:marBottom w:val="0"/>
                      <w:divBdr>
                        <w:top w:val="none" w:sz="0" w:space="0" w:color="auto"/>
                        <w:left w:val="none" w:sz="0" w:space="0" w:color="auto"/>
                        <w:bottom w:val="none" w:sz="0" w:space="0" w:color="auto"/>
                        <w:right w:val="none" w:sz="0" w:space="0" w:color="auto"/>
                      </w:divBdr>
                      <w:divsChild>
                        <w:div w:id="2117092534">
                          <w:marLeft w:val="0"/>
                          <w:marRight w:val="0"/>
                          <w:marTop w:val="0"/>
                          <w:marBottom w:val="0"/>
                          <w:divBdr>
                            <w:top w:val="none" w:sz="0" w:space="0" w:color="auto"/>
                            <w:left w:val="none" w:sz="0" w:space="0" w:color="auto"/>
                            <w:bottom w:val="none" w:sz="0" w:space="0" w:color="auto"/>
                            <w:right w:val="none" w:sz="0" w:space="0" w:color="auto"/>
                          </w:divBdr>
                          <w:divsChild>
                            <w:div w:id="1044789532">
                              <w:marLeft w:val="0"/>
                              <w:marRight w:val="0"/>
                              <w:marTop w:val="0"/>
                              <w:marBottom w:val="0"/>
                              <w:divBdr>
                                <w:top w:val="none" w:sz="0" w:space="0" w:color="auto"/>
                                <w:left w:val="none" w:sz="0" w:space="0" w:color="auto"/>
                                <w:bottom w:val="none" w:sz="0" w:space="0" w:color="auto"/>
                                <w:right w:val="none" w:sz="0" w:space="0" w:color="auto"/>
                              </w:divBdr>
                              <w:divsChild>
                                <w:div w:id="987897483">
                                  <w:marLeft w:val="0"/>
                                  <w:marRight w:val="0"/>
                                  <w:marTop w:val="0"/>
                                  <w:marBottom w:val="0"/>
                                  <w:divBdr>
                                    <w:top w:val="none" w:sz="0" w:space="0" w:color="auto"/>
                                    <w:left w:val="none" w:sz="0" w:space="0" w:color="auto"/>
                                    <w:bottom w:val="none" w:sz="0" w:space="0" w:color="auto"/>
                                    <w:right w:val="none" w:sz="0" w:space="0" w:color="auto"/>
                                  </w:divBdr>
                                  <w:divsChild>
                                    <w:div w:id="1952320351">
                                      <w:marLeft w:val="0"/>
                                      <w:marRight w:val="0"/>
                                      <w:marTop w:val="0"/>
                                      <w:marBottom w:val="0"/>
                                      <w:divBdr>
                                        <w:top w:val="none" w:sz="0" w:space="0" w:color="auto"/>
                                        <w:left w:val="none" w:sz="0" w:space="0" w:color="auto"/>
                                        <w:bottom w:val="none" w:sz="0" w:space="0" w:color="auto"/>
                                        <w:right w:val="none" w:sz="0" w:space="0" w:color="auto"/>
                                      </w:divBdr>
                                      <w:divsChild>
                                        <w:div w:id="95492214">
                                          <w:marLeft w:val="125"/>
                                          <w:marRight w:val="125"/>
                                          <w:marTop w:val="125"/>
                                          <w:marBottom w:val="376"/>
                                          <w:divBdr>
                                            <w:top w:val="none" w:sz="0" w:space="0" w:color="auto"/>
                                            <w:left w:val="none" w:sz="0" w:space="0" w:color="auto"/>
                                            <w:bottom w:val="none" w:sz="0" w:space="0" w:color="auto"/>
                                            <w:right w:val="none" w:sz="0" w:space="0" w:color="auto"/>
                                          </w:divBdr>
                                          <w:divsChild>
                                            <w:div w:id="11076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8835345">
      <w:bodyDiv w:val="1"/>
      <w:marLeft w:val="0"/>
      <w:marRight w:val="0"/>
      <w:marTop w:val="0"/>
      <w:marBottom w:val="0"/>
      <w:divBdr>
        <w:top w:val="none" w:sz="0" w:space="0" w:color="auto"/>
        <w:left w:val="none" w:sz="0" w:space="0" w:color="auto"/>
        <w:bottom w:val="none" w:sz="0" w:space="0" w:color="auto"/>
        <w:right w:val="none" w:sz="0" w:space="0" w:color="auto"/>
      </w:divBdr>
      <w:divsChild>
        <w:div w:id="1726827800">
          <w:marLeft w:val="0"/>
          <w:marRight w:val="0"/>
          <w:marTop w:val="0"/>
          <w:marBottom w:val="0"/>
          <w:divBdr>
            <w:top w:val="none" w:sz="0" w:space="0" w:color="auto"/>
            <w:left w:val="none" w:sz="0" w:space="0" w:color="auto"/>
            <w:bottom w:val="none" w:sz="0" w:space="0" w:color="auto"/>
            <w:right w:val="none" w:sz="0" w:space="0" w:color="auto"/>
          </w:divBdr>
        </w:div>
      </w:divsChild>
    </w:div>
    <w:div w:id="832335867">
      <w:bodyDiv w:val="1"/>
      <w:marLeft w:val="0"/>
      <w:marRight w:val="0"/>
      <w:marTop w:val="0"/>
      <w:marBottom w:val="0"/>
      <w:divBdr>
        <w:top w:val="none" w:sz="0" w:space="0" w:color="auto"/>
        <w:left w:val="none" w:sz="0" w:space="0" w:color="auto"/>
        <w:bottom w:val="none" w:sz="0" w:space="0" w:color="auto"/>
        <w:right w:val="none" w:sz="0" w:space="0" w:color="auto"/>
      </w:divBdr>
      <w:divsChild>
        <w:div w:id="1795248825">
          <w:marLeft w:val="0"/>
          <w:marRight w:val="0"/>
          <w:marTop w:val="0"/>
          <w:marBottom w:val="0"/>
          <w:divBdr>
            <w:top w:val="none" w:sz="0" w:space="0" w:color="auto"/>
            <w:left w:val="none" w:sz="0" w:space="0" w:color="auto"/>
            <w:bottom w:val="none" w:sz="0" w:space="0" w:color="auto"/>
            <w:right w:val="none" w:sz="0" w:space="0" w:color="auto"/>
          </w:divBdr>
          <w:divsChild>
            <w:div w:id="2000234351">
              <w:marLeft w:val="0"/>
              <w:marRight w:val="0"/>
              <w:marTop w:val="0"/>
              <w:marBottom w:val="0"/>
              <w:divBdr>
                <w:top w:val="none" w:sz="0" w:space="0" w:color="auto"/>
                <w:left w:val="none" w:sz="0" w:space="0" w:color="auto"/>
                <w:bottom w:val="none" w:sz="0" w:space="0" w:color="auto"/>
                <w:right w:val="none" w:sz="0" w:space="0" w:color="auto"/>
              </w:divBdr>
              <w:divsChild>
                <w:div w:id="9007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813821">
      <w:bodyDiv w:val="1"/>
      <w:marLeft w:val="0"/>
      <w:marRight w:val="0"/>
      <w:marTop w:val="0"/>
      <w:marBottom w:val="0"/>
      <w:divBdr>
        <w:top w:val="none" w:sz="0" w:space="0" w:color="auto"/>
        <w:left w:val="none" w:sz="0" w:space="0" w:color="auto"/>
        <w:bottom w:val="none" w:sz="0" w:space="0" w:color="auto"/>
        <w:right w:val="none" w:sz="0" w:space="0" w:color="auto"/>
      </w:divBdr>
    </w:div>
    <w:div w:id="906375463">
      <w:bodyDiv w:val="1"/>
      <w:marLeft w:val="0"/>
      <w:marRight w:val="0"/>
      <w:marTop w:val="0"/>
      <w:marBottom w:val="0"/>
      <w:divBdr>
        <w:top w:val="none" w:sz="0" w:space="0" w:color="auto"/>
        <w:left w:val="none" w:sz="0" w:space="0" w:color="auto"/>
        <w:bottom w:val="none" w:sz="0" w:space="0" w:color="auto"/>
        <w:right w:val="none" w:sz="0" w:space="0" w:color="auto"/>
      </w:divBdr>
    </w:div>
    <w:div w:id="916598431">
      <w:bodyDiv w:val="1"/>
      <w:marLeft w:val="0"/>
      <w:marRight w:val="0"/>
      <w:marTop w:val="0"/>
      <w:marBottom w:val="0"/>
      <w:divBdr>
        <w:top w:val="none" w:sz="0" w:space="0" w:color="auto"/>
        <w:left w:val="none" w:sz="0" w:space="0" w:color="auto"/>
        <w:bottom w:val="none" w:sz="0" w:space="0" w:color="auto"/>
        <w:right w:val="none" w:sz="0" w:space="0" w:color="auto"/>
      </w:divBdr>
      <w:divsChild>
        <w:div w:id="1681540275">
          <w:marLeft w:val="136"/>
          <w:marRight w:val="136"/>
          <w:marTop w:val="0"/>
          <w:marBottom w:val="0"/>
          <w:divBdr>
            <w:top w:val="none" w:sz="0" w:space="0" w:color="auto"/>
            <w:left w:val="none" w:sz="0" w:space="0" w:color="auto"/>
            <w:bottom w:val="none" w:sz="0" w:space="0" w:color="auto"/>
            <w:right w:val="none" w:sz="0" w:space="0" w:color="auto"/>
          </w:divBdr>
        </w:div>
      </w:divsChild>
    </w:div>
    <w:div w:id="923033062">
      <w:bodyDiv w:val="1"/>
      <w:marLeft w:val="0"/>
      <w:marRight w:val="0"/>
      <w:marTop w:val="0"/>
      <w:marBottom w:val="0"/>
      <w:divBdr>
        <w:top w:val="none" w:sz="0" w:space="0" w:color="auto"/>
        <w:left w:val="none" w:sz="0" w:space="0" w:color="auto"/>
        <w:bottom w:val="none" w:sz="0" w:space="0" w:color="auto"/>
        <w:right w:val="none" w:sz="0" w:space="0" w:color="auto"/>
      </w:divBdr>
      <w:divsChild>
        <w:div w:id="1206915141">
          <w:marLeft w:val="0"/>
          <w:marRight w:val="0"/>
          <w:marTop w:val="0"/>
          <w:marBottom w:val="0"/>
          <w:divBdr>
            <w:top w:val="none" w:sz="0" w:space="0" w:color="auto"/>
            <w:left w:val="none" w:sz="0" w:space="0" w:color="auto"/>
            <w:bottom w:val="none" w:sz="0" w:space="0" w:color="auto"/>
            <w:right w:val="none" w:sz="0" w:space="0" w:color="auto"/>
          </w:divBdr>
          <w:divsChild>
            <w:div w:id="1254514096">
              <w:marLeft w:val="0"/>
              <w:marRight w:val="0"/>
              <w:marTop w:val="0"/>
              <w:marBottom w:val="0"/>
              <w:divBdr>
                <w:top w:val="none" w:sz="0" w:space="0" w:color="auto"/>
                <w:left w:val="none" w:sz="0" w:space="0" w:color="auto"/>
                <w:bottom w:val="none" w:sz="0" w:space="0" w:color="auto"/>
                <w:right w:val="none" w:sz="0" w:space="0" w:color="auto"/>
              </w:divBdr>
              <w:divsChild>
                <w:div w:id="84153621">
                  <w:marLeft w:val="0"/>
                  <w:marRight w:val="0"/>
                  <w:marTop w:val="0"/>
                  <w:marBottom w:val="0"/>
                  <w:divBdr>
                    <w:top w:val="none" w:sz="0" w:space="0" w:color="auto"/>
                    <w:left w:val="none" w:sz="0" w:space="0" w:color="auto"/>
                    <w:bottom w:val="none" w:sz="0" w:space="0" w:color="auto"/>
                    <w:right w:val="none" w:sz="0" w:space="0" w:color="auto"/>
                  </w:divBdr>
                  <w:divsChild>
                    <w:div w:id="246378357">
                      <w:marLeft w:val="0"/>
                      <w:marRight w:val="0"/>
                      <w:marTop w:val="0"/>
                      <w:marBottom w:val="0"/>
                      <w:divBdr>
                        <w:top w:val="none" w:sz="0" w:space="0" w:color="auto"/>
                        <w:left w:val="none" w:sz="0" w:space="0" w:color="auto"/>
                        <w:bottom w:val="none" w:sz="0" w:space="0" w:color="auto"/>
                        <w:right w:val="none" w:sz="0" w:space="0" w:color="auto"/>
                      </w:divBdr>
                      <w:divsChild>
                        <w:div w:id="111245968">
                          <w:marLeft w:val="0"/>
                          <w:marRight w:val="0"/>
                          <w:marTop w:val="0"/>
                          <w:marBottom w:val="0"/>
                          <w:divBdr>
                            <w:top w:val="none" w:sz="0" w:space="0" w:color="auto"/>
                            <w:left w:val="none" w:sz="0" w:space="0" w:color="auto"/>
                            <w:bottom w:val="none" w:sz="0" w:space="0" w:color="auto"/>
                            <w:right w:val="none" w:sz="0" w:space="0" w:color="auto"/>
                          </w:divBdr>
                          <w:divsChild>
                            <w:div w:id="827020861">
                              <w:marLeft w:val="0"/>
                              <w:marRight w:val="0"/>
                              <w:marTop w:val="0"/>
                              <w:marBottom w:val="0"/>
                              <w:divBdr>
                                <w:top w:val="none" w:sz="0" w:space="0" w:color="auto"/>
                                <w:left w:val="none" w:sz="0" w:space="0" w:color="auto"/>
                                <w:bottom w:val="none" w:sz="0" w:space="0" w:color="auto"/>
                                <w:right w:val="none" w:sz="0" w:space="0" w:color="auto"/>
                              </w:divBdr>
                              <w:divsChild>
                                <w:div w:id="199053209">
                                  <w:marLeft w:val="0"/>
                                  <w:marRight w:val="0"/>
                                  <w:marTop w:val="0"/>
                                  <w:marBottom w:val="0"/>
                                  <w:divBdr>
                                    <w:top w:val="none" w:sz="0" w:space="0" w:color="auto"/>
                                    <w:left w:val="none" w:sz="0" w:space="0" w:color="auto"/>
                                    <w:bottom w:val="none" w:sz="0" w:space="0" w:color="auto"/>
                                    <w:right w:val="none" w:sz="0" w:space="0" w:color="auto"/>
                                  </w:divBdr>
                                  <w:divsChild>
                                    <w:div w:id="978419184">
                                      <w:marLeft w:val="0"/>
                                      <w:marRight w:val="0"/>
                                      <w:marTop w:val="0"/>
                                      <w:marBottom w:val="0"/>
                                      <w:divBdr>
                                        <w:top w:val="none" w:sz="0" w:space="0" w:color="auto"/>
                                        <w:left w:val="none" w:sz="0" w:space="0" w:color="auto"/>
                                        <w:bottom w:val="none" w:sz="0" w:space="0" w:color="auto"/>
                                        <w:right w:val="none" w:sz="0" w:space="0" w:color="auto"/>
                                      </w:divBdr>
                                      <w:divsChild>
                                        <w:div w:id="135260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6554054">
      <w:bodyDiv w:val="1"/>
      <w:marLeft w:val="0"/>
      <w:marRight w:val="0"/>
      <w:marTop w:val="0"/>
      <w:marBottom w:val="0"/>
      <w:divBdr>
        <w:top w:val="none" w:sz="0" w:space="0" w:color="auto"/>
        <w:left w:val="none" w:sz="0" w:space="0" w:color="auto"/>
        <w:bottom w:val="none" w:sz="0" w:space="0" w:color="auto"/>
        <w:right w:val="none" w:sz="0" w:space="0" w:color="auto"/>
      </w:divBdr>
      <w:divsChild>
        <w:div w:id="498813752">
          <w:marLeft w:val="0"/>
          <w:marRight w:val="0"/>
          <w:marTop w:val="0"/>
          <w:marBottom w:val="0"/>
          <w:divBdr>
            <w:top w:val="none" w:sz="0" w:space="0" w:color="auto"/>
            <w:left w:val="none" w:sz="0" w:space="0" w:color="auto"/>
            <w:bottom w:val="none" w:sz="0" w:space="0" w:color="auto"/>
            <w:right w:val="none" w:sz="0" w:space="0" w:color="auto"/>
          </w:divBdr>
          <w:divsChild>
            <w:div w:id="371465799">
              <w:marLeft w:val="0"/>
              <w:marRight w:val="0"/>
              <w:marTop w:val="0"/>
              <w:marBottom w:val="0"/>
              <w:divBdr>
                <w:top w:val="none" w:sz="0" w:space="0" w:color="auto"/>
                <w:left w:val="none" w:sz="0" w:space="0" w:color="auto"/>
                <w:bottom w:val="none" w:sz="0" w:space="0" w:color="auto"/>
                <w:right w:val="none" w:sz="0" w:space="0" w:color="auto"/>
              </w:divBdr>
              <w:divsChild>
                <w:div w:id="10114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330605">
      <w:bodyDiv w:val="1"/>
      <w:marLeft w:val="0"/>
      <w:marRight w:val="0"/>
      <w:marTop w:val="0"/>
      <w:marBottom w:val="0"/>
      <w:divBdr>
        <w:top w:val="none" w:sz="0" w:space="0" w:color="auto"/>
        <w:left w:val="none" w:sz="0" w:space="0" w:color="auto"/>
        <w:bottom w:val="none" w:sz="0" w:space="0" w:color="auto"/>
        <w:right w:val="none" w:sz="0" w:space="0" w:color="auto"/>
      </w:divBdr>
      <w:divsChild>
        <w:div w:id="68428661">
          <w:marLeft w:val="0"/>
          <w:marRight w:val="0"/>
          <w:marTop w:val="0"/>
          <w:marBottom w:val="0"/>
          <w:divBdr>
            <w:top w:val="none" w:sz="0" w:space="0" w:color="auto"/>
            <w:left w:val="none" w:sz="0" w:space="0" w:color="auto"/>
            <w:bottom w:val="none" w:sz="0" w:space="0" w:color="auto"/>
            <w:right w:val="none" w:sz="0" w:space="0" w:color="auto"/>
          </w:divBdr>
          <w:divsChild>
            <w:div w:id="956563773">
              <w:marLeft w:val="626"/>
              <w:marRight w:val="626"/>
              <w:marTop w:val="376"/>
              <w:marBottom w:val="501"/>
              <w:divBdr>
                <w:top w:val="none" w:sz="0" w:space="0" w:color="auto"/>
                <w:left w:val="none" w:sz="0" w:space="0" w:color="auto"/>
                <w:bottom w:val="none" w:sz="0" w:space="0" w:color="auto"/>
                <w:right w:val="none" w:sz="0" w:space="0" w:color="auto"/>
              </w:divBdr>
              <w:divsChild>
                <w:div w:id="4963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59746">
      <w:bodyDiv w:val="1"/>
      <w:marLeft w:val="0"/>
      <w:marRight w:val="0"/>
      <w:marTop w:val="0"/>
      <w:marBottom w:val="0"/>
      <w:divBdr>
        <w:top w:val="none" w:sz="0" w:space="0" w:color="auto"/>
        <w:left w:val="none" w:sz="0" w:space="0" w:color="auto"/>
        <w:bottom w:val="none" w:sz="0" w:space="0" w:color="auto"/>
        <w:right w:val="none" w:sz="0" w:space="0" w:color="auto"/>
      </w:divBdr>
      <w:divsChild>
        <w:div w:id="951744746">
          <w:marLeft w:val="0"/>
          <w:marRight w:val="0"/>
          <w:marTop w:val="0"/>
          <w:marBottom w:val="0"/>
          <w:divBdr>
            <w:top w:val="none" w:sz="0" w:space="0" w:color="auto"/>
            <w:left w:val="none" w:sz="0" w:space="0" w:color="auto"/>
            <w:bottom w:val="none" w:sz="0" w:space="0" w:color="auto"/>
            <w:right w:val="none" w:sz="0" w:space="0" w:color="auto"/>
          </w:divBdr>
          <w:divsChild>
            <w:div w:id="955408672">
              <w:marLeft w:val="679"/>
              <w:marRight w:val="679"/>
              <w:marTop w:val="408"/>
              <w:marBottom w:val="543"/>
              <w:divBdr>
                <w:top w:val="none" w:sz="0" w:space="0" w:color="auto"/>
                <w:left w:val="none" w:sz="0" w:space="0" w:color="auto"/>
                <w:bottom w:val="none" w:sz="0" w:space="0" w:color="auto"/>
                <w:right w:val="none" w:sz="0" w:space="0" w:color="auto"/>
              </w:divBdr>
              <w:divsChild>
                <w:div w:id="128700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5586">
      <w:bodyDiv w:val="1"/>
      <w:marLeft w:val="0"/>
      <w:marRight w:val="0"/>
      <w:marTop w:val="0"/>
      <w:marBottom w:val="0"/>
      <w:divBdr>
        <w:top w:val="none" w:sz="0" w:space="0" w:color="auto"/>
        <w:left w:val="none" w:sz="0" w:space="0" w:color="auto"/>
        <w:bottom w:val="none" w:sz="0" w:space="0" w:color="auto"/>
        <w:right w:val="none" w:sz="0" w:space="0" w:color="auto"/>
      </w:divBdr>
      <w:divsChild>
        <w:div w:id="1853568416">
          <w:marLeft w:val="0"/>
          <w:marRight w:val="0"/>
          <w:marTop w:val="0"/>
          <w:marBottom w:val="0"/>
          <w:divBdr>
            <w:top w:val="none" w:sz="0" w:space="0" w:color="auto"/>
            <w:left w:val="none" w:sz="0" w:space="0" w:color="auto"/>
            <w:bottom w:val="none" w:sz="0" w:space="0" w:color="auto"/>
            <w:right w:val="none" w:sz="0" w:space="0" w:color="auto"/>
          </w:divBdr>
          <w:divsChild>
            <w:div w:id="167914528">
              <w:marLeft w:val="0"/>
              <w:marRight w:val="0"/>
              <w:marTop w:val="0"/>
              <w:marBottom w:val="0"/>
              <w:divBdr>
                <w:top w:val="none" w:sz="0" w:space="0" w:color="auto"/>
                <w:left w:val="none" w:sz="0" w:space="0" w:color="auto"/>
                <w:bottom w:val="none" w:sz="0" w:space="0" w:color="auto"/>
                <w:right w:val="none" w:sz="0" w:space="0" w:color="auto"/>
              </w:divBdr>
              <w:divsChild>
                <w:div w:id="1620061858">
                  <w:marLeft w:val="0"/>
                  <w:marRight w:val="0"/>
                  <w:marTop w:val="0"/>
                  <w:marBottom w:val="0"/>
                  <w:divBdr>
                    <w:top w:val="none" w:sz="0" w:space="0" w:color="auto"/>
                    <w:left w:val="none" w:sz="0" w:space="0" w:color="auto"/>
                    <w:bottom w:val="none" w:sz="0" w:space="0" w:color="auto"/>
                    <w:right w:val="none" w:sz="0" w:space="0" w:color="auto"/>
                  </w:divBdr>
                  <w:divsChild>
                    <w:div w:id="278686236">
                      <w:marLeft w:val="0"/>
                      <w:marRight w:val="0"/>
                      <w:marTop w:val="0"/>
                      <w:marBottom w:val="0"/>
                      <w:divBdr>
                        <w:top w:val="none" w:sz="0" w:space="0" w:color="auto"/>
                        <w:left w:val="none" w:sz="0" w:space="0" w:color="auto"/>
                        <w:bottom w:val="none" w:sz="0" w:space="0" w:color="auto"/>
                        <w:right w:val="none" w:sz="0" w:space="0" w:color="auto"/>
                      </w:divBdr>
                      <w:divsChild>
                        <w:div w:id="1949659274">
                          <w:marLeft w:val="0"/>
                          <w:marRight w:val="0"/>
                          <w:marTop w:val="0"/>
                          <w:marBottom w:val="0"/>
                          <w:divBdr>
                            <w:top w:val="none" w:sz="0" w:space="0" w:color="auto"/>
                            <w:left w:val="none" w:sz="0" w:space="0" w:color="auto"/>
                            <w:bottom w:val="none" w:sz="0" w:space="0" w:color="auto"/>
                            <w:right w:val="none" w:sz="0" w:space="0" w:color="auto"/>
                          </w:divBdr>
                          <w:divsChild>
                            <w:div w:id="746268998">
                              <w:marLeft w:val="0"/>
                              <w:marRight w:val="0"/>
                              <w:marTop w:val="0"/>
                              <w:marBottom w:val="0"/>
                              <w:divBdr>
                                <w:top w:val="none" w:sz="0" w:space="0" w:color="auto"/>
                                <w:left w:val="none" w:sz="0" w:space="0" w:color="auto"/>
                                <w:bottom w:val="none" w:sz="0" w:space="0" w:color="auto"/>
                                <w:right w:val="none" w:sz="0" w:space="0" w:color="auto"/>
                              </w:divBdr>
                              <w:divsChild>
                                <w:div w:id="10814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378305">
      <w:bodyDiv w:val="1"/>
      <w:marLeft w:val="0"/>
      <w:marRight w:val="0"/>
      <w:marTop w:val="0"/>
      <w:marBottom w:val="0"/>
      <w:divBdr>
        <w:top w:val="none" w:sz="0" w:space="0" w:color="auto"/>
        <w:left w:val="none" w:sz="0" w:space="0" w:color="auto"/>
        <w:bottom w:val="none" w:sz="0" w:space="0" w:color="auto"/>
        <w:right w:val="none" w:sz="0" w:space="0" w:color="auto"/>
      </w:divBdr>
      <w:divsChild>
        <w:div w:id="798836900">
          <w:marLeft w:val="0"/>
          <w:marRight w:val="0"/>
          <w:marTop w:val="150"/>
          <w:marBottom w:val="150"/>
          <w:divBdr>
            <w:top w:val="none" w:sz="0" w:space="0" w:color="auto"/>
            <w:left w:val="none" w:sz="0" w:space="0" w:color="auto"/>
            <w:bottom w:val="none" w:sz="0" w:space="0" w:color="auto"/>
            <w:right w:val="none" w:sz="0" w:space="0" w:color="auto"/>
          </w:divBdr>
          <w:divsChild>
            <w:div w:id="1834568153">
              <w:marLeft w:val="3750"/>
              <w:marRight w:val="3750"/>
              <w:marTop w:val="0"/>
              <w:marBottom w:val="0"/>
              <w:divBdr>
                <w:top w:val="none" w:sz="0" w:space="0" w:color="auto"/>
                <w:left w:val="none" w:sz="0" w:space="0" w:color="auto"/>
                <w:bottom w:val="none" w:sz="0" w:space="0" w:color="auto"/>
                <w:right w:val="none" w:sz="0" w:space="0" w:color="auto"/>
              </w:divBdr>
              <w:divsChild>
                <w:div w:id="211185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299577">
      <w:bodyDiv w:val="1"/>
      <w:marLeft w:val="0"/>
      <w:marRight w:val="0"/>
      <w:marTop w:val="0"/>
      <w:marBottom w:val="0"/>
      <w:divBdr>
        <w:top w:val="none" w:sz="0" w:space="0" w:color="auto"/>
        <w:left w:val="none" w:sz="0" w:space="0" w:color="auto"/>
        <w:bottom w:val="none" w:sz="0" w:space="0" w:color="auto"/>
        <w:right w:val="none" w:sz="0" w:space="0" w:color="auto"/>
      </w:divBdr>
    </w:div>
    <w:div w:id="1564943632">
      <w:bodyDiv w:val="1"/>
      <w:marLeft w:val="0"/>
      <w:marRight w:val="0"/>
      <w:marTop w:val="0"/>
      <w:marBottom w:val="0"/>
      <w:divBdr>
        <w:top w:val="none" w:sz="0" w:space="0" w:color="auto"/>
        <w:left w:val="none" w:sz="0" w:space="0" w:color="auto"/>
        <w:bottom w:val="none" w:sz="0" w:space="0" w:color="auto"/>
        <w:right w:val="none" w:sz="0" w:space="0" w:color="auto"/>
      </w:divBdr>
      <w:divsChild>
        <w:div w:id="1239972621">
          <w:marLeft w:val="0"/>
          <w:marRight w:val="0"/>
          <w:marTop w:val="0"/>
          <w:marBottom w:val="0"/>
          <w:divBdr>
            <w:top w:val="none" w:sz="0" w:space="0" w:color="auto"/>
            <w:left w:val="none" w:sz="0" w:space="0" w:color="auto"/>
            <w:bottom w:val="none" w:sz="0" w:space="0" w:color="auto"/>
            <w:right w:val="none" w:sz="0" w:space="0" w:color="auto"/>
          </w:divBdr>
        </w:div>
      </w:divsChild>
    </w:div>
    <w:div w:id="1584298209">
      <w:bodyDiv w:val="1"/>
      <w:marLeft w:val="0"/>
      <w:marRight w:val="0"/>
      <w:marTop w:val="0"/>
      <w:marBottom w:val="0"/>
      <w:divBdr>
        <w:top w:val="none" w:sz="0" w:space="0" w:color="auto"/>
        <w:left w:val="none" w:sz="0" w:space="0" w:color="auto"/>
        <w:bottom w:val="none" w:sz="0" w:space="0" w:color="auto"/>
        <w:right w:val="none" w:sz="0" w:space="0" w:color="auto"/>
      </w:divBdr>
      <w:divsChild>
        <w:div w:id="487133197">
          <w:marLeft w:val="0"/>
          <w:marRight w:val="0"/>
          <w:marTop w:val="125"/>
          <w:marBottom w:val="125"/>
          <w:divBdr>
            <w:top w:val="none" w:sz="0" w:space="0" w:color="auto"/>
            <w:left w:val="none" w:sz="0" w:space="0" w:color="auto"/>
            <w:bottom w:val="none" w:sz="0" w:space="0" w:color="auto"/>
            <w:right w:val="none" w:sz="0" w:space="0" w:color="auto"/>
          </w:divBdr>
          <w:divsChild>
            <w:div w:id="2110734094">
              <w:marLeft w:val="0"/>
              <w:marRight w:val="0"/>
              <w:marTop w:val="0"/>
              <w:marBottom w:val="0"/>
              <w:divBdr>
                <w:top w:val="none" w:sz="0" w:space="0" w:color="auto"/>
                <w:left w:val="none" w:sz="0" w:space="0" w:color="auto"/>
                <w:bottom w:val="none" w:sz="0" w:space="0" w:color="auto"/>
                <w:right w:val="none" w:sz="0" w:space="0" w:color="auto"/>
              </w:divBdr>
              <w:divsChild>
                <w:div w:id="909999016">
                  <w:marLeft w:val="0"/>
                  <w:marRight w:val="0"/>
                  <w:marTop w:val="0"/>
                  <w:marBottom w:val="0"/>
                  <w:divBdr>
                    <w:top w:val="none" w:sz="0" w:space="0" w:color="auto"/>
                    <w:left w:val="none" w:sz="0" w:space="0" w:color="auto"/>
                    <w:bottom w:val="none" w:sz="0" w:space="0" w:color="auto"/>
                    <w:right w:val="none" w:sz="0" w:space="0" w:color="auto"/>
                  </w:divBdr>
                  <w:divsChild>
                    <w:div w:id="10511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721717">
      <w:bodyDiv w:val="1"/>
      <w:marLeft w:val="0"/>
      <w:marRight w:val="0"/>
      <w:marTop w:val="0"/>
      <w:marBottom w:val="0"/>
      <w:divBdr>
        <w:top w:val="none" w:sz="0" w:space="0" w:color="auto"/>
        <w:left w:val="none" w:sz="0" w:space="0" w:color="auto"/>
        <w:bottom w:val="none" w:sz="0" w:space="0" w:color="auto"/>
        <w:right w:val="none" w:sz="0" w:space="0" w:color="auto"/>
      </w:divBdr>
      <w:divsChild>
        <w:div w:id="175384531">
          <w:marLeft w:val="0"/>
          <w:marRight w:val="0"/>
          <w:marTop w:val="0"/>
          <w:marBottom w:val="0"/>
          <w:divBdr>
            <w:top w:val="none" w:sz="0" w:space="0" w:color="auto"/>
            <w:left w:val="none" w:sz="0" w:space="0" w:color="auto"/>
            <w:bottom w:val="none" w:sz="0" w:space="0" w:color="auto"/>
            <w:right w:val="none" w:sz="0" w:space="0" w:color="auto"/>
          </w:divBdr>
          <w:divsChild>
            <w:div w:id="1130788172">
              <w:marLeft w:val="0"/>
              <w:marRight w:val="0"/>
              <w:marTop w:val="0"/>
              <w:marBottom w:val="0"/>
              <w:divBdr>
                <w:top w:val="none" w:sz="0" w:space="0" w:color="auto"/>
                <w:left w:val="none" w:sz="0" w:space="0" w:color="auto"/>
                <w:bottom w:val="none" w:sz="0" w:space="0" w:color="auto"/>
                <w:right w:val="none" w:sz="0" w:space="0" w:color="auto"/>
              </w:divBdr>
              <w:divsChild>
                <w:div w:id="1436897214">
                  <w:marLeft w:val="0"/>
                  <w:marRight w:val="0"/>
                  <w:marTop w:val="0"/>
                  <w:marBottom w:val="0"/>
                  <w:divBdr>
                    <w:top w:val="none" w:sz="0" w:space="0" w:color="auto"/>
                    <w:left w:val="none" w:sz="0" w:space="0" w:color="auto"/>
                    <w:bottom w:val="none" w:sz="0" w:space="0" w:color="auto"/>
                    <w:right w:val="none" w:sz="0" w:space="0" w:color="auto"/>
                  </w:divBdr>
                  <w:divsChild>
                    <w:div w:id="1067806680">
                      <w:marLeft w:val="0"/>
                      <w:marRight w:val="0"/>
                      <w:marTop w:val="0"/>
                      <w:marBottom w:val="0"/>
                      <w:divBdr>
                        <w:top w:val="none" w:sz="0" w:space="0" w:color="auto"/>
                        <w:left w:val="none" w:sz="0" w:space="0" w:color="auto"/>
                        <w:bottom w:val="none" w:sz="0" w:space="0" w:color="auto"/>
                        <w:right w:val="none" w:sz="0" w:space="0" w:color="auto"/>
                      </w:divBdr>
                      <w:divsChild>
                        <w:div w:id="587233533">
                          <w:marLeft w:val="0"/>
                          <w:marRight w:val="0"/>
                          <w:marTop w:val="0"/>
                          <w:marBottom w:val="0"/>
                          <w:divBdr>
                            <w:top w:val="none" w:sz="0" w:space="0" w:color="auto"/>
                            <w:left w:val="none" w:sz="0" w:space="0" w:color="auto"/>
                            <w:bottom w:val="none" w:sz="0" w:space="0" w:color="auto"/>
                            <w:right w:val="none" w:sz="0" w:space="0" w:color="auto"/>
                          </w:divBdr>
                          <w:divsChild>
                            <w:div w:id="385226090">
                              <w:marLeft w:val="0"/>
                              <w:marRight w:val="0"/>
                              <w:marTop w:val="0"/>
                              <w:marBottom w:val="0"/>
                              <w:divBdr>
                                <w:top w:val="none" w:sz="0" w:space="0" w:color="auto"/>
                                <w:left w:val="none" w:sz="0" w:space="0" w:color="auto"/>
                                <w:bottom w:val="none" w:sz="0" w:space="0" w:color="auto"/>
                                <w:right w:val="none" w:sz="0" w:space="0" w:color="auto"/>
                              </w:divBdr>
                              <w:divsChild>
                                <w:div w:id="6239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1531398">
      <w:bodyDiv w:val="1"/>
      <w:marLeft w:val="0"/>
      <w:marRight w:val="0"/>
      <w:marTop w:val="0"/>
      <w:marBottom w:val="0"/>
      <w:divBdr>
        <w:top w:val="none" w:sz="0" w:space="0" w:color="auto"/>
        <w:left w:val="none" w:sz="0" w:space="0" w:color="auto"/>
        <w:bottom w:val="none" w:sz="0" w:space="0" w:color="auto"/>
        <w:right w:val="none" w:sz="0" w:space="0" w:color="auto"/>
      </w:divBdr>
      <w:divsChild>
        <w:div w:id="108477057">
          <w:marLeft w:val="0"/>
          <w:marRight w:val="0"/>
          <w:marTop w:val="0"/>
          <w:marBottom w:val="0"/>
          <w:divBdr>
            <w:top w:val="none" w:sz="0" w:space="0" w:color="auto"/>
            <w:left w:val="none" w:sz="0" w:space="0" w:color="auto"/>
            <w:bottom w:val="none" w:sz="0" w:space="0" w:color="auto"/>
            <w:right w:val="none" w:sz="0" w:space="0" w:color="auto"/>
          </w:divBdr>
          <w:divsChild>
            <w:div w:id="1508012914">
              <w:marLeft w:val="0"/>
              <w:marRight w:val="0"/>
              <w:marTop w:val="0"/>
              <w:marBottom w:val="0"/>
              <w:divBdr>
                <w:top w:val="none" w:sz="0" w:space="0" w:color="auto"/>
                <w:left w:val="none" w:sz="0" w:space="0" w:color="auto"/>
                <w:bottom w:val="none" w:sz="0" w:space="0" w:color="auto"/>
                <w:right w:val="none" w:sz="0" w:space="0" w:color="auto"/>
              </w:divBdr>
              <w:divsChild>
                <w:div w:id="1766073726">
                  <w:marLeft w:val="-188"/>
                  <w:marRight w:val="-188"/>
                  <w:marTop w:val="0"/>
                  <w:marBottom w:val="0"/>
                  <w:divBdr>
                    <w:top w:val="none" w:sz="0" w:space="0" w:color="auto"/>
                    <w:left w:val="none" w:sz="0" w:space="0" w:color="auto"/>
                    <w:bottom w:val="none" w:sz="0" w:space="0" w:color="auto"/>
                    <w:right w:val="none" w:sz="0" w:space="0" w:color="auto"/>
                  </w:divBdr>
                  <w:divsChild>
                    <w:div w:id="1480075793">
                      <w:marLeft w:val="0"/>
                      <w:marRight w:val="0"/>
                      <w:marTop w:val="0"/>
                      <w:marBottom w:val="0"/>
                      <w:divBdr>
                        <w:top w:val="none" w:sz="0" w:space="0" w:color="auto"/>
                        <w:left w:val="none" w:sz="0" w:space="0" w:color="auto"/>
                        <w:bottom w:val="none" w:sz="0" w:space="0" w:color="auto"/>
                        <w:right w:val="none" w:sz="0" w:space="0" w:color="auto"/>
                      </w:divBdr>
                      <w:divsChild>
                        <w:div w:id="1005670171">
                          <w:marLeft w:val="0"/>
                          <w:marRight w:val="0"/>
                          <w:marTop w:val="0"/>
                          <w:marBottom w:val="0"/>
                          <w:divBdr>
                            <w:top w:val="none" w:sz="0" w:space="0" w:color="auto"/>
                            <w:left w:val="none" w:sz="0" w:space="0" w:color="auto"/>
                            <w:bottom w:val="none" w:sz="0" w:space="0" w:color="auto"/>
                            <w:right w:val="none" w:sz="0" w:space="0" w:color="auto"/>
                          </w:divBdr>
                          <w:divsChild>
                            <w:div w:id="1331830497">
                              <w:marLeft w:val="0"/>
                              <w:marRight w:val="0"/>
                              <w:marTop w:val="0"/>
                              <w:marBottom w:val="0"/>
                              <w:divBdr>
                                <w:top w:val="none" w:sz="0" w:space="0" w:color="auto"/>
                                <w:left w:val="none" w:sz="0" w:space="0" w:color="auto"/>
                                <w:bottom w:val="none" w:sz="0" w:space="0" w:color="auto"/>
                                <w:right w:val="none" w:sz="0" w:space="0" w:color="auto"/>
                              </w:divBdr>
                              <w:divsChild>
                                <w:div w:id="1342900183">
                                  <w:marLeft w:val="0"/>
                                  <w:marRight w:val="0"/>
                                  <w:marTop w:val="0"/>
                                  <w:marBottom w:val="0"/>
                                  <w:divBdr>
                                    <w:top w:val="none" w:sz="0" w:space="0" w:color="auto"/>
                                    <w:left w:val="none" w:sz="0" w:space="0" w:color="auto"/>
                                    <w:bottom w:val="none" w:sz="0" w:space="0" w:color="auto"/>
                                    <w:right w:val="none" w:sz="0" w:space="0" w:color="auto"/>
                                  </w:divBdr>
                                  <w:divsChild>
                                    <w:div w:id="2091270577">
                                      <w:marLeft w:val="0"/>
                                      <w:marRight w:val="0"/>
                                      <w:marTop w:val="0"/>
                                      <w:marBottom w:val="0"/>
                                      <w:divBdr>
                                        <w:top w:val="none" w:sz="0" w:space="0" w:color="auto"/>
                                        <w:left w:val="none" w:sz="0" w:space="0" w:color="auto"/>
                                        <w:bottom w:val="none" w:sz="0" w:space="0" w:color="auto"/>
                                        <w:right w:val="none" w:sz="0" w:space="0" w:color="auto"/>
                                      </w:divBdr>
                                      <w:divsChild>
                                        <w:div w:id="1402365052">
                                          <w:marLeft w:val="125"/>
                                          <w:marRight w:val="125"/>
                                          <w:marTop w:val="125"/>
                                          <w:marBottom w:val="376"/>
                                          <w:divBdr>
                                            <w:top w:val="none" w:sz="0" w:space="0" w:color="auto"/>
                                            <w:left w:val="none" w:sz="0" w:space="0" w:color="auto"/>
                                            <w:bottom w:val="none" w:sz="0" w:space="0" w:color="auto"/>
                                            <w:right w:val="none" w:sz="0" w:space="0" w:color="auto"/>
                                          </w:divBdr>
                                          <w:divsChild>
                                            <w:div w:id="172328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9954994">
      <w:bodyDiv w:val="1"/>
      <w:marLeft w:val="0"/>
      <w:marRight w:val="0"/>
      <w:marTop w:val="0"/>
      <w:marBottom w:val="0"/>
      <w:divBdr>
        <w:top w:val="none" w:sz="0" w:space="0" w:color="auto"/>
        <w:left w:val="none" w:sz="0" w:space="0" w:color="auto"/>
        <w:bottom w:val="none" w:sz="0" w:space="0" w:color="auto"/>
        <w:right w:val="none" w:sz="0" w:space="0" w:color="auto"/>
      </w:divBdr>
      <w:divsChild>
        <w:div w:id="634336673">
          <w:marLeft w:val="0"/>
          <w:marRight w:val="0"/>
          <w:marTop w:val="0"/>
          <w:marBottom w:val="0"/>
          <w:divBdr>
            <w:top w:val="none" w:sz="0" w:space="0" w:color="auto"/>
            <w:left w:val="none" w:sz="0" w:space="0" w:color="auto"/>
            <w:bottom w:val="none" w:sz="0" w:space="0" w:color="auto"/>
            <w:right w:val="none" w:sz="0" w:space="0" w:color="auto"/>
          </w:divBdr>
          <w:divsChild>
            <w:div w:id="130176354">
              <w:marLeft w:val="0"/>
              <w:marRight w:val="0"/>
              <w:marTop w:val="0"/>
              <w:marBottom w:val="0"/>
              <w:divBdr>
                <w:top w:val="none" w:sz="0" w:space="0" w:color="auto"/>
                <w:left w:val="none" w:sz="0" w:space="0" w:color="auto"/>
                <w:bottom w:val="none" w:sz="0" w:space="0" w:color="auto"/>
                <w:right w:val="none" w:sz="0" w:space="0" w:color="auto"/>
              </w:divBdr>
              <w:divsChild>
                <w:div w:id="45039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6.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1.xml"/><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header" Target="header3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header" Target="header2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3.xml"/><Relationship Id="rId49" Type="http://schemas.openxmlformats.org/officeDocument/2006/relationships/header" Target="header36.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yperlink" Target="http://r-tel.ru/list_certification/" TargetMode="External"/><Relationship Id="rId44" Type="http://schemas.openxmlformats.org/officeDocument/2006/relationships/header" Target="header31.xml"/><Relationship Id="rId52" Type="http://schemas.openxmlformats.org/officeDocument/2006/relationships/header" Target="header39.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yperlink" Target="http://r-tel.ru/list_certification/" TargetMode="Externa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8" Type="http://schemas.openxmlformats.org/officeDocument/2006/relationships/endnotes" Target="endnotes.xml"/><Relationship Id="rId51" Type="http://schemas.openxmlformats.org/officeDocument/2006/relationships/header" Target="header3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FB061-DB13-4FD5-BA5F-B99AC810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50</Pages>
  <Words>11656</Words>
  <Characters>88990</Characters>
  <Application>Microsoft Office Word</Application>
  <DocSecurity>8</DocSecurity>
  <Lines>741</Lines>
  <Paragraphs>200</Paragraphs>
  <ScaleCrop>false</ScaleCrop>
  <HeadingPairs>
    <vt:vector size="2" baseType="variant">
      <vt:variant>
        <vt:lpstr>Название</vt:lpstr>
      </vt:variant>
      <vt:variant>
        <vt:i4>1</vt:i4>
      </vt:variant>
    </vt:vector>
  </HeadingPairs>
  <TitlesOfParts>
    <vt:vector size="1" baseType="lpstr">
      <vt:lpstr>Стандарт Безопасность связи</vt:lpstr>
    </vt:vector>
  </TitlesOfParts>
  <Manager>Вихарев Евгений Васильевич</Manager>
  <Company>ОАО «НК «Роснефть»</Company>
  <LinksUpToDate>false</LinksUpToDate>
  <CharactersWithSpaces>100446</CharactersWithSpaces>
  <SharedDoc>false</SharedDoc>
  <HLinks>
    <vt:vector size="108" baseType="variant">
      <vt:variant>
        <vt:i4>2228291</vt:i4>
      </vt:variant>
      <vt:variant>
        <vt:i4>93</vt:i4>
      </vt:variant>
      <vt:variant>
        <vt:i4>0</vt:i4>
      </vt:variant>
      <vt:variant>
        <vt:i4>5</vt:i4>
      </vt:variant>
      <vt:variant>
        <vt:lpwstr>http://standartgost.ru/gost/by_pkey/14294849462</vt:lpwstr>
      </vt:variant>
      <vt:variant>
        <vt:lpwstr/>
      </vt:variant>
      <vt:variant>
        <vt:i4>4915223</vt:i4>
      </vt:variant>
      <vt:variant>
        <vt:i4>90</vt:i4>
      </vt:variant>
      <vt:variant>
        <vt:i4>0</vt:i4>
      </vt:variant>
      <vt:variant>
        <vt:i4>5</vt:i4>
      </vt:variant>
      <vt:variant>
        <vt:lpwstr>https://ru.wikipedia.org/wiki/%D0%A5%D0%BE%D1%81%D1%82%D0%B8%D0%BD%D0%B3</vt:lpwstr>
      </vt:variant>
      <vt:variant>
        <vt:lpwstr/>
      </vt:variant>
      <vt:variant>
        <vt:i4>7733333</vt:i4>
      </vt:variant>
      <vt:variant>
        <vt:i4>87</vt:i4>
      </vt:variant>
      <vt:variant>
        <vt:i4>0</vt:i4>
      </vt:variant>
      <vt:variant>
        <vt:i4>5</vt:i4>
      </vt:variant>
      <vt:variant>
        <vt:lpwstr>http://r-tel.ru/list_certification/</vt:lpwstr>
      </vt:variant>
      <vt:variant>
        <vt:lpwstr/>
      </vt:variant>
      <vt:variant>
        <vt:i4>7733333</vt:i4>
      </vt:variant>
      <vt:variant>
        <vt:i4>84</vt:i4>
      </vt:variant>
      <vt:variant>
        <vt:i4>0</vt:i4>
      </vt:variant>
      <vt:variant>
        <vt:i4>5</vt:i4>
      </vt:variant>
      <vt:variant>
        <vt:lpwstr>http://r-tel.ru/list_certification/</vt:lpwstr>
      </vt:variant>
      <vt:variant>
        <vt:lpwstr/>
      </vt:variant>
      <vt:variant>
        <vt:i4>7274557</vt:i4>
      </vt:variant>
      <vt:variant>
        <vt:i4>81</vt:i4>
      </vt:variant>
      <vt:variant>
        <vt:i4>0</vt:i4>
      </vt:variant>
      <vt:variant>
        <vt:i4>5</vt:i4>
      </vt:variant>
      <vt:variant>
        <vt:lpwstr>garantf1://10002673.0/</vt:lpwstr>
      </vt:variant>
      <vt:variant>
        <vt:lpwstr/>
      </vt:variant>
      <vt:variant>
        <vt:i4>1179698</vt:i4>
      </vt:variant>
      <vt:variant>
        <vt:i4>74</vt:i4>
      </vt:variant>
      <vt:variant>
        <vt:i4>0</vt:i4>
      </vt:variant>
      <vt:variant>
        <vt:i4>5</vt:i4>
      </vt:variant>
      <vt:variant>
        <vt:lpwstr/>
      </vt:variant>
      <vt:variant>
        <vt:lpwstr>_Toc326669187</vt:lpwstr>
      </vt:variant>
      <vt:variant>
        <vt:i4>1179698</vt:i4>
      </vt:variant>
      <vt:variant>
        <vt:i4>68</vt:i4>
      </vt:variant>
      <vt:variant>
        <vt:i4>0</vt:i4>
      </vt:variant>
      <vt:variant>
        <vt:i4>5</vt:i4>
      </vt:variant>
      <vt:variant>
        <vt:lpwstr/>
      </vt:variant>
      <vt:variant>
        <vt:lpwstr>_Toc326669186</vt:lpwstr>
      </vt:variant>
      <vt:variant>
        <vt:i4>1179698</vt:i4>
      </vt:variant>
      <vt:variant>
        <vt:i4>62</vt:i4>
      </vt:variant>
      <vt:variant>
        <vt:i4>0</vt:i4>
      </vt:variant>
      <vt:variant>
        <vt:i4>5</vt:i4>
      </vt:variant>
      <vt:variant>
        <vt:lpwstr/>
      </vt:variant>
      <vt:variant>
        <vt:lpwstr>_Toc326669185</vt:lpwstr>
      </vt:variant>
      <vt:variant>
        <vt:i4>1179698</vt:i4>
      </vt:variant>
      <vt:variant>
        <vt:i4>56</vt:i4>
      </vt:variant>
      <vt:variant>
        <vt:i4>0</vt:i4>
      </vt:variant>
      <vt:variant>
        <vt:i4>5</vt:i4>
      </vt:variant>
      <vt:variant>
        <vt:lpwstr/>
      </vt:variant>
      <vt:variant>
        <vt:lpwstr>_Toc326669184</vt:lpwstr>
      </vt:variant>
      <vt:variant>
        <vt:i4>1179698</vt:i4>
      </vt:variant>
      <vt:variant>
        <vt:i4>50</vt:i4>
      </vt:variant>
      <vt:variant>
        <vt:i4>0</vt:i4>
      </vt:variant>
      <vt:variant>
        <vt:i4>5</vt:i4>
      </vt:variant>
      <vt:variant>
        <vt:lpwstr/>
      </vt:variant>
      <vt:variant>
        <vt:lpwstr>_Toc326669181</vt:lpwstr>
      </vt:variant>
      <vt:variant>
        <vt:i4>1179698</vt:i4>
      </vt:variant>
      <vt:variant>
        <vt:i4>44</vt:i4>
      </vt:variant>
      <vt:variant>
        <vt:i4>0</vt:i4>
      </vt:variant>
      <vt:variant>
        <vt:i4>5</vt:i4>
      </vt:variant>
      <vt:variant>
        <vt:lpwstr/>
      </vt:variant>
      <vt:variant>
        <vt:lpwstr>_Toc326669180</vt:lpwstr>
      </vt:variant>
      <vt:variant>
        <vt:i4>1900594</vt:i4>
      </vt:variant>
      <vt:variant>
        <vt:i4>38</vt:i4>
      </vt:variant>
      <vt:variant>
        <vt:i4>0</vt:i4>
      </vt:variant>
      <vt:variant>
        <vt:i4>5</vt:i4>
      </vt:variant>
      <vt:variant>
        <vt:lpwstr/>
      </vt:variant>
      <vt:variant>
        <vt:lpwstr>_Toc326669179</vt:lpwstr>
      </vt:variant>
      <vt:variant>
        <vt:i4>1900594</vt:i4>
      </vt:variant>
      <vt:variant>
        <vt:i4>32</vt:i4>
      </vt:variant>
      <vt:variant>
        <vt:i4>0</vt:i4>
      </vt:variant>
      <vt:variant>
        <vt:i4>5</vt:i4>
      </vt:variant>
      <vt:variant>
        <vt:lpwstr/>
      </vt:variant>
      <vt:variant>
        <vt:lpwstr>_Toc326669178</vt:lpwstr>
      </vt:variant>
      <vt:variant>
        <vt:i4>1900594</vt:i4>
      </vt:variant>
      <vt:variant>
        <vt:i4>26</vt:i4>
      </vt:variant>
      <vt:variant>
        <vt:i4>0</vt:i4>
      </vt:variant>
      <vt:variant>
        <vt:i4>5</vt:i4>
      </vt:variant>
      <vt:variant>
        <vt:lpwstr/>
      </vt:variant>
      <vt:variant>
        <vt:lpwstr>_Toc326669177</vt:lpwstr>
      </vt:variant>
      <vt:variant>
        <vt:i4>1900594</vt:i4>
      </vt:variant>
      <vt:variant>
        <vt:i4>20</vt:i4>
      </vt:variant>
      <vt:variant>
        <vt:i4>0</vt:i4>
      </vt:variant>
      <vt:variant>
        <vt:i4>5</vt:i4>
      </vt:variant>
      <vt:variant>
        <vt:lpwstr/>
      </vt:variant>
      <vt:variant>
        <vt:lpwstr>_Toc326669176</vt:lpwstr>
      </vt:variant>
      <vt:variant>
        <vt:i4>1900594</vt:i4>
      </vt:variant>
      <vt:variant>
        <vt:i4>14</vt:i4>
      </vt:variant>
      <vt:variant>
        <vt:i4>0</vt:i4>
      </vt:variant>
      <vt:variant>
        <vt:i4>5</vt:i4>
      </vt:variant>
      <vt:variant>
        <vt:lpwstr/>
      </vt:variant>
      <vt:variant>
        <vt:lpwstr>_Toc326669175</vt:lpwstr>
      </vt:variant>
      <vt:variant>
        <vt:i4>1900594</vt:i4>
      </vt:variant>
      <vt:variant>
        <vt:i4>8</vt:i4>
      </vt:variant>
      <vt:variant>
        <vt:i4>0</vt:i4>
      </vt:variant>
      <vt:variant>
        <vt:i4>5</vt:i4>
      </vt:variant>
      <vt:variant>
        <vt:lpwstr/>
      </vt:variant>
      <vt:variant>
        <vt:lpwstr>_Toc326669174</vt:lpwstr>
      </vt:variant>
      <vt:variant>
        <vt:i4>1900594</vt:i4>
      </vt:variant>
      <vt:variant>
        <vt:i4>2</vt:i4>
      </vt:variant>
      <vt:variant>
        <vt:i4>0</vt:i4>
      </vt:variant>
      <vt:variant>
        <vt:i4>5</vt:i4>
      </vt:variant>
      <vt:variant>
        <vt:lpwstr/>
      </vt:variant>
      <vt:variant>
        <vt:lpwstr>_Toc326669173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Безопасность связи</dc:title>
  <dc:creator>Готнога Сергей Васильевич</dc:creator>
  <cp:lastModifiedBy>Некрасова Екатерина Андреевна  </cp:lastModifiedBy>
  <cp:revision>5</cp:revision>
  <cp:lastPrinted>2017-02-20T08:01:00Z</cp:lastPrinted>
  <dcterms:created xsi:type="dcterms:W3CDTF">2017-04-05T11:36:00Z</dcterms:created>
  <dcterms:modified xsi:type="dcterms:W3CDTF">2017-05-25T09:55:00Z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